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rPr>
          <w:rFonts w:hint="eastAsia"/>
          <w:lang w:val="en-US" w:eastAsia="zh-CN"/>
        </w:rPr>
      </w:pPr>
      <w:r>
        <w:rPr>
          <w:rFonts w:hint="eastAsia"/>
          <w:lang w:val="en-US" w:eastAsia="zh-CN"/>
        </w:rPr>
        <w:t>施工图设计说明</w:t>
      </w:r>
    </w:p>
    <w:p>
      <w:pPr>
        <w:pStyle w:val="3"/>
        <w:bidi w:val="0"/>
        <w:rPr>
          <w:rFonts w:hint="default"/>
          <w:lang w:val="en-US" w:eastAsia="zh-CN"/>
        </w:rPr>
      </w:pPr>
      <w:r>
        <w:rPr>
          <w:rFonts w:hint="eastAsia"/>
          <w:lang w:val="en-US" w:eastAsia="zh-CN"/>
        </w:rPr>
        <w:t>工程概况</w:t>
      </w:r>
    </w:p>
    <w:p>
      <w:pPr>
        <w:tabs>
          <w:tab w:val="right" w:pos="10080"/>
        </w:tabs>
        <w:ind w:firstLine="480"/>
        <w:rPr>
          <w:rFonts w:hint="eastAsia"/>
        </w:rPr>
      </w:pPr>
      <w:r>
        <w:rPr>
          <w:rFonts w:hint="eastAsia"/>
        </w:rPr>
        <w:t>本项目位于广州市海珠区，叠景路路线为东西走向。海珠区叠景路改造工程改造范围包括叠景路（广州大道-逸景翠园北2门段），改造道路总长</w:t>
      </w:r>
      <w:r>
        <w:t>327.228</w:t>
      </w:r>
      <w:r>
        <w:rPr>
          <w:rFonts w:hint="eastAsia"/>
        </w:rPr>
        <w:t>米，车行道为双向4车道。</w:t>
      </w:r>
      <w:bookmarkStart w:id="15" w:name="_GoBack"/>
      <w:bookmarkEnd w:id="15"/>
    </w:p>
    <w:p>
      <w:pPr>
        <w:bidi w:val="0"/>
      </w:pPr>
      <w:r>
        <w:rPr>
          <w:rFonts w:hint="eastAsia"/>
          <w:lang w:val="en-US" w:eastAsia="zh-CN"/>
        </w:rPr>
        <w:t>根据水务提供水文资料及现状建设条件，新建叠景路东</w:t>
      </w:r>
      <w:r>
        <w:t xml:space="preserve">桥为 1 孔 </w:t>
      </w:r>
      <w:r>
        <w:rPr>
          <w:rFonts w:hint="eastAsia"/>
          <w:lang w:val="en-US" w:eastAsia="zh-CN"/>
        </w:rPr>
        <w:t>16</w:t>
      </w:r>
      <w:r>
        <w:t>m 简支</w:t>
      </w:r>
      <w:r>
        <w:rPr>
          <w:rFonts w:hint="eastAsia"/>
          <w:lang w:val="en-US" w:eastAsia="zh-CN"/>
        </w:rPr>
        <w:t>空心板</w:t>
      </w:r>
      <w:r>
        <w:t xml:space="preserve">桥，桥面宽 </w:t>
      </w:r>
      <w:r>
        <w:rPr>
          <w:rFonts w:hint="eastAsia"/>
          <w:lang w:val="en-US" w:eastAsia="zh-CN"/>
        </w:rPr>
        <w:t>12</w:t>
      </w:r>
      <w:r>
        <w:t>.5m，</w:t>
      </w:r>
      <w:r>
        <w:rPr>
          <w:rFonts w:hint="eastAsia"/>
          <w:lang w:val="en-US" w:eastAsia="zh-CN"/>
        </w:rPr>
        <w:t>跨越现有河涌，缓解该路口交通压力</w:t>
      </w:r>
      <w:r>
        <w:t xml:space="preserve">。 </w:t>
      </w:r>
    </w:p>
    <w:p>
      <w:pPr>
        <w:bidi w:val="0"/>
        <w:rPr>
          <w:rFonts w:hint="eastAsia" w:eastAsia="宋体"/>
          <w:lang w:eastAsia="zh-CN"/>
        </w:rPr>
      </w:pPr>
      <w:r>
        <w:rPr>
          <w:rFonts w:hint="eastAsia" w:eastAsia="宋体"/>
          <w:lang w:eastAsia="zh-CN"/>
        </w:rPr>
        <w:drawing>
          <wp:inline distT="0" distB="0" distL="114300" distR="114300">
            <wp:extent cx="5400040" cy="3034030"/>
            <wp:effectExtent l="0" t="0" r="0" b="0"/>
            <wp:docPr id="1" name="图片 1" descr="高德卫星_230717091335 - 副本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高德卫星_230717091335 - 副本 (2)"/>
                    <pic:cNvPicPr>
                      <a:picLocks noChangeAspect="1"/>
                    </pic:cNvPicPr>
                  </pic:nvPicPr>
                  <pic:blipFill>
                    <a:blip r:embed="rId8"/>
                    <a:srcRect t="15322" b="28492"/>
                    <a:stretch>
                      <a:fillRect/>
                    </a:stretch>
                  </pic:blipFill>
                  <pic:spPr>
                    <a:xfrm>
                      <a:off x="0" y="0"/>
                      <a:ext cx="5400040" cy="3034030"/>
                    </a:xfrm>
                    <a:prstGeom prst="rect">
                      <a:avLst/>
                    </a:prstGeom>
                  </pic:spPr>
                </pic:pic>
              </a:graphicData>
            </a:graphic>
          </wp:inline>
        </w:drawing>
      </w:r>
    </w:p>
    <w:p>
      <w:pPr>
        <w:bidi w:val="0"/>
        <w:jc w:val="center"/>
        <w:rPr>
          <w:rFonts w:hint="default" w:eastAsia="宋体"/>
          <w:sz w:val="24"/>
          <w:szCs w:val="24"/>
          <w:lang w:val="en-US" w:eastAsia="zh-CN"/>
        </w:rPr>
      </w:pPr>
      <w:r>
        <w:rPr>
          <w:rFonts w:hint="eastAsia"/>
          <w:sz w:val="24"/>
          <w:szCs w:val="24"/>
          <w:lang w:val="en-US" w:eastAsia="zh-CN"/>
        </w:rPr>
        <w:t>叠景路小桥地理位置图</w:t>
      </w:r>
    </w:p>
    <w:p>
      <w:pPr>
        <w:pStyle w:val="3"/>
        <w:bidi w:val="0"/>
        <w:rPr>
          <w:rFonts w:hint="eastAsia"/>
          <w:lang w:val="en-US" w:eastAsia="zh-CN"/>
        </w:rPr>
      </w:pPr>
      <w:r>
        <w:rPr>
          <w:rFonts w:hint="eastAsia"/>
          <w:lang w:val="en-US" w:eastAsia="zh-CN"/>
        </w:rPr>
        <w:t>自然地理情况</w:t>
      </w:r>
    </w:p>
    <w:p>
      <w:pPr>
        <w:pStyle w:val="4"/>
        <w:bidi w:val="0"/>
        <w:rPr>
          <w:rFonts w:hint="default"/>
          <w:lang w:val="en-US" w:eastAsia="zh-CN"/>
        </w:rPr>
      </w:pPr>
      <w:r>
        <w:rPr>
          <w:rFonts w:hint="eastAsia"/>
          <w:lang w:val="en-US" w:eastAsia="zh-CN"/>
        </w:rPr>
        <w:t>地形、地貌</w:t>
      </w:r>
    </w:p>
    <w:p>
      <w:pPr>
        <w:bidi w:val="0"/>
      </w:pPr>
      <w:r>
        <w:rPr>
          <w:rFonts w:hint="eastAsia"/>
        </w:rPr>
        <w:t>场地地形起伏变化较小，整体较为平坦。沿线主要为原有道路和民居。</w:t>
      </w:r>
    </w:p>
    <w:p>
      <w:pPr>
        <w:bidi w:val="0"/>
        <w:rPr>
          <w:rFonts w:hint="eastAsia"/>
        </w:rPr>
      </w:pPr>
      <w:r>
        <w:rPr>
          <w:rFonts w:hint="eastAsia"/>
        </w:rPr>
        <w:t>地貌类型属于冲击平原地貌。</w:t>
      </w:r>
    </w:p>
    <w:p>
      <w:pPr>
        <w:pStyle w:val="4"/>
        <w:bidi w:val="0"/>
        <w:rPr>
          <w:rFonts w:hint="eastAsia"/>
        </w:rPr>
      </w:pPr>
      <w:bookmarkStart w:id="0" w:name="_Toc439065610"/>
      <w:bookmarkStart w:id="1" w:name="_Toc24566052"/>
      <w:r>
        <w:rPr>
          <w:rFonts w:hint="eastAsia"/>
        </w:rPr>
        <w:t>气象特征</w:t>
      </w:r>
      <w:bookmarkEnd w:id="0"/>
      <w:bookmarkEnd w:id="1"/>
    </w:p>
    <w:p>
      <w:pPr>
        <w:bidi w:val="0"/>
        <w:rPr>
          <w:rFonts w:hint="eastAsia"/>
        </w:rPr>
      </w:pPr>
      <w:r>
        <w:rPr>
          <w:rFonts w:hint="eastAsia"/>
        </w:rPr>
        <w:t>本项目区域属亚热带季风气候，热源丰富，无霜期长，雨量充沛。</w:t>
      </w:r>
    </w:p>
    <w:p>
      <w:pPr>
        <w:bidi w:val="0"/>
        <w:rPr>
          <w:rFonts w:hint="eastAsia"/>
        </w:rPr>
      </w:pPr>
      <w:r>
        <w:rPr>
          <w:rFonts w:hint="eastAsia"/>
        </w:rPr>
        <w:t>日照：地处热带北回归线以南，纬度较低，太阳辐射角度较大，太阳年辐射热量106.7千卡/平方厘米，年平均日照射时数1906小时，日照率43%，热量资源丰富，光照充足，适宜农作物和热带、亚热带水果生长。</w:t>
      </w:r>
    </w:p>
    <w:p>
      <w:pPr>
        <w:bidi w:val="0"/>
        <w:rPr>
          <w:rFonts w:hint="eastAsia"/>
        </w:rPr>
      </w:pPr>
      <w:r>
        <w:rPr>
          <w:rFonts w:hint="eastAsia"/>
        </w:rPr>
        <w:t>气温：具有夏长冬短，终年温暖，偶有奇寒，无霜期长，四季宜耕的特点。年平均气温22摄氏度，最冷1月份平均为13.3摄氏度，最热月7月份，平均为28.4摄氏度，气温年际变化很少。</w:t>
      </w:r>
    </w:p>
    <w:p>
      <w:pPr>
        <w:bidi w:val="0"/>
        <w:rPr>
          <w:rFonts w:hint="eastAsia"/>
        </w:rPr>
      </w:pPr>
      <w:r>
        <w:rPr>
          <w:rFonts w:hint="eastAsia"/>
        </w:rPr>
        <w:t>雨量：主要集中在4-9月，这6个月占全年降雨量的82%。降雨充沛，雨热同期，对喜温需水量大的作物生长十分有利</w:t>
      </w:r>
      <w:r>
        <w:t>。</w:t>
      </w:r>
    </w:p>
    <w:p>
      <w:pPr>
        <w:bidi w:val="0"/>
        <w:rPr>
          <w:rFonts w:hint="eastAsia"/>
        </w:rPr>
      </w:pPr>
      <w:r>
        <w:rPr>
          <w:rFonts w:hint="eastAsia"/>
        </w:rPr>
        <w:t>本区自然灾害有热带气旋、暴雨、洪涝、寒潮、低温阴雨和强对流天气等，夏季洪涝和夏秋台风是主要灾害性天气。</w:t>
      </w:r>
    </w:p>
    <w:p>
      <w:pPr>
        <w:pStyle w:val="3"/>
        <w:bidi w:val="0"/>
        <w:rPr>
          <w:rFonts w:hint="eastAsia"/>
        </w:rPr>
      </w:pPr>
      <w:bookmarkStart w:id="2" w:name="_Toc376465079"/>
      <w:bookmarkStart w:id="3" w:name="_Toc24566053"/>
      <w:r>
        <w:rPr>
          <w:rFonts w:hint="eastAsia"/>
        </w:rPr>
        <w:t>沿线工程地质条件</w:t>
      </w:r>
      <w:bookmarkEnd w:id="2"/>
      <w:bookmarkEnd w:id="3"/>
    </w:p>
    <w:p>
      <w:pPr>
        <w:pStyle w:val="4"/>
        <w:numPr>
          <w:ilvl w:val="0"/>
          <w:numId w:val="4"/>
        </w:numPr>
        <w:bidi w:val="0"/>
        <w:rPr>
          <w:rFonts w:hint="eastAsia"/>
        </w:rPr>
      </w:pPr>
      <w:bookmarkStart w:id="4" w:name="_Toc24566055"/>
      <w:bookmarkStart w:id="5" w:name="_Toc466479671"/>
      <w:r>
        <w:rPr>
          <w:rFonts w:hint="eastAsia" w:ascii="Times New Roman" w:hAnsi="Times New Roman"/>
          <w:szCs w:val="30"/>
        </w:rPr>
        <w:t>区域地质构造及地震稳定性</w:t>
      </w:r>
    </w:p>
    <w:p>
      <w:pPr>
        <w:pStyle w:val="5"/>
        <w:bidi w:val="0"/>
        <w:rPr>
          <w:rFonts w:hint="eastAsia"/>
        </w:rPr>
      </w:pPr>
      <w:r>
        <w:rPr>
          <w:rFonts w:hint="eastAsia"/>
        </w:rPr>
        <w:t>区域地质情况</w:t>
      </w:r>
      <w:bookmarkEnd w:id="4"/>
    </w:p>
    <w:p>
      <w:pPr>
        <w:bidi w:val="0"/>
      </w:pPr>
      <w:r>
        <w:rPr>
          <w:rFonts w:hint="eastAsia"/>
        </w:rPr>
        <w:t>根据区域地质资料，广州市位于华南准地台（一级单位）湘桂赣粤褶皱带（二级单位）粤中坳褶皱束（三级单位）的中部，广从断裂、瘦狗岭断裂及广三断裂是本区构造的基本骨架，自加里东构造阶段便开始活动，经历了海西</w:t>
      </w:r>
      <w:r>
        <w:t>-</w:t>
      </w:r>
      <w:r>
        <w:rPr>
          <w:rFonts w:hint="eastAsia"/>
        </w:rPr>
        <w:t>印支构造阶段、燕山构造阶段和喜马拉雅山构造阶段，主要表现为强烈的继承性断裂活动，并引起差异断块升降。主要以广从断裂和瘦狗岭断裂为界线分成四个构造区：增城凸起，广花凹陷，东莞盆地，三水断陷盆地。</w:t>
      </w:r>
    </w:p>
    <w:p>
      <w:pPr>
        <w:bidi w:val="0"/>
      </w:pPr>
      <w:r>
        <w:rPr>
          <w:rFonts w:hint="eastAsia"/>
        </w:rPr>
        <w:t>广从断裂在拟建位置西北方向约8Km处，呈北东向。</w:t>
      </w:r>
    </w:p>
    <w:p>
      <w:pPr>
        <w:pStyle w:val="5"/>
        <w:bidi w:val="0"/>
      </w:pPr>
      <w:bookmarkStart w:id="6" w:name="_Toc24566056"/>
      <w:r>
        <w:t>构造情况</w:t>
      </w:r>
      <w:bookmarkEnd w:id="6"/>
    </w:p>
    <w:p>
      <w:pPr>
        <w:bidi w:val="0"/>
        <w:rPr>
          <w:rFonts w:hint="eastAsia"/>
        </w:rPr>
      </w:pPr>
      <w:r>
        <w:rPr>
          <w:rFonts w:hint="eastAsia"/>
        </w:rPr>
        <w:t>据</w:t>
      </w:r>
      <w:r>
        <w:t>2009</w:t>
      </w:r>
      <w:r>
        <w:rPr>
          <w:rFonts w:hint="eastAsia"/>
        </w:rPr>
        <w:t>年版</w:t>
      </w:r>
      <w:r>
        <w:t>1:50000</w:t>
      </w:r>
      <w:r>
        <w:rPr>
          <w:rFonts w:hint="eastAsia"/>
        </w:rPr>
        <w:t>广州地区断裂构造图成果资料，本场地及周边未见断裂穿越</w:t>
      </w:r>
      <w:r>
        <w:t>。</w:t>
      </w:r>
      <w:r>
        <w:rPr>
          <w:rFonts w:hint="eastAsia"/>
        </w:rPr>
        <w:t>查阅地质图F49 C 001004(广州市幅)，场地下卧基岩为泥质粉砂岩（K）。</w:t>
      </w:r>
    </w:p>
    <w:p>
      <w:pPr>
        <w:bidi w:val="0"/>
        <w:rPr>
          <w:rFonts w:hint="eastAsia"/>
        </w:rPr>
      </w:pPr>
      <w:bookmarkStart w:id="7" w:name="_Toc24566057"/>
      <w:r>
        <w:rPr>
          <w:rFonts w:hint="eastAsia"/>
        </w:rPr>
        <w:t>3.1.3地震稳定性</w:t>
      </w:r>
      <w:bookmarkEnd w:id="5"/>
      <w:bookmarkEnd w:id="7"/>
    </w:p>
    <w:p>
      <w:pPr>
        <w:bidi w:val="0"/>
      </w:pPr>
      <w:r>
        <w:t>按国家标准《建筑抗震设计规范》</w:t>
      </w:r>
      <w:r>
        <w:rPr>
          <w:rFonts w:hint="eastAsia"/>
        </w:rPr>
        <w:t>（</w:t>
      </w:r>
      <w:r>
        <w:t>GB 50011-20</w:t>
      </w:r>
      <w:r>
        <w:rPr>
          <w:rFonts w:hint="eastAsia"/>
        </w:rPr>
        <w:t>10）（2016年版）</w:t>
      </w:r>
      <w:r>
        <w:t>附录A.0.19条，抗震设防烈度为</w:t>
      </w:r>
      <w:r>
        <w:rPr>
          <w:rFonts w:hint="eastAsia"/>
        </w:rPr>
        <w:t>7</w:t>
      </w:r>
      <w:r>
        <w:t>度</w:t>
      </w:r>
      <w:r>
        <w:rPr>
          <w:rFonts w:hint="eastAsia"/>
        </w:rPr>
        <w:t>，</w:t>
      </w:r>
      <w:r>
        <w:t>设计地震分组为第一组。</w:t>
      </w:r>
    </w:p>
    <w:p>
      <w:pPr>
        <w:bidi w:val="0"/>
      </w:pPr>
      <w:r>
        <w:t>根据</w:t>
      </w:r>
      <w:r>
        <w:rPr>
          <w:rFonts w:hint="eastAsia"/>
        </w:rPr>
        <w:t>国家标准《中国地震动参数区划图》（GB18306-2015）</w:t>
      </w:r>
      <w:r>
        <w:t>，</w:t>
      </w:r>
      <w:r>
        <w:rPr>
          <w:rFonts w:hint="eastAsia"/>
        </w:rPr>
        <w:t>II类场地条件下，基本</w:t>
      </w:r>
      <w:r>
        <w:t>地震动峰值加速度为0.</w:t>
      </w:r>
      <w:r>
        <w:rPr>
          <w:rFonts w:hint="eastAsia"/>
        </w:rPr>
        <w:t>10</w:t>
      </w:r>
      <w:r>
        <w:t>g、</w:t>
      </w:r>
      <w:r>
        <w:rPr>
          <w:rFonts w:hint="eastAsia"/>
        </w:rPr>
        <w:t>基本</w:t>
      </w:r>
      <w:r>
        <w:t>地震动</w:t>
      </w:r>
      <w:r>
        <w:rPr>
          <w:rFonts w:hint="eastAsia"/>
        </w:rPr>
        <w:t>加速度</w:t>
      </w:r>
      <w:r>
        <w:t>反应谱特征周期为0.35s</w:t>
      </w:r>
      <w:r>
        <w:rPr>
          <w:rFonts w:hint="eastAsia"/>
        </w:rPr>
        <w:t>。</w:t>
      </w:r>
    </w:p>
    <w:p>
      <w:pPr>
        <w:pStyle w:val="4"/>
        <w:bidi w:val="0"/>
        <w:rPr>
          <w:rFonts w:hint="eastAsia"/>
        </w:rPr>
      </w:pPr>
      <w:bookmarkStart w:id="8" w:name="_Toc24566058"/>
      <w:r>
        <w:rPr>
          <w:rFonts w:hint="eastAsia"/>
        </w:rPr>
        <w:t>线路沿线岩土分布及其物理力学性质</w:t>
      </w:r>
      <w:bookmarkEnd w:id="8"/>
    </w:p>
    <w:p>
      <w:pPr>
        <w:bidi w:val="0"/>
      </w:pPr>
      <w:r>
        <w:rPr>
          <w:rFonts w:hint="eastAsia"/>
        </w:rPr>
        <w:t>根据场区内钻探揭露，场区内在勘察深度范围内的地层主要为人工填土层（</w:t>
      </w:r>
      <w:r>
        <w:t>Q4</w:t>
      </w:r>
      <w:r>
        <w:rPr>
          <w:rFonts w:hint="eastAsia"/>
        </w:rPr>
        <w:t>m</w:t>
      </w:r>
      <w:r>
        <w:t>l</w:t>
      </w:r>
      <w:r>
        <w:rPr>
          <w:rFonts w:hint="eastAsia"/>
        </w:rPr>
        <w:t>）、冲洪积土层（</w:t>
      </w:r>
      <w:r>
        <w:t>Q4</w:t>
      </w:r>
      <w:r>
        <w:rPr>
          <w:rFonts w:hint="eastAsia"/>
        </w:rPr>
        <w:t>al+pl），下卧基岩为白垩系泥质粉砂岩（K）。分述如下：</w:t>
      </w:r>
    </w:p>
    <w:p>
      <w:pPr>
        <w:pStyle w:val="5"/>
        <w:numPr>
          <w:ilvl w:val="0"/>
          <w:numId w:val="5"/>
        </w:numPr>
        <w:bidi w:val="0"/>
      </w:pPr>
      <w:bookmarkStart w:id="9" w:name="_Toc24566059"/>
      <w:r>
        <w:rPr>
          <w:rFonts w:hint="eastAsia"/>
        </w:rPr>
        <w:t>第四系人为活动</w:t>
      </w:r>
      <w:r>
        <w:t>层（</w:t>
      </w:r>
      <w:r>
        <w:rPr>
          <w:rFonts w:hint="eastAsia"/>
        </w:rPr>
        <w:t>Q4</w:t>
      </w:r>
      <w:r>
        <w:t>ml）</w:t>
      </w:r>
      <w:bookmarkEnd w:id="9"/>
    </w:p>
    <w:p>
      <w:pPr>
        <w:bidi w:val="0"/>
        <w:rPr>
          <w:rFonts w:hint="eastAsia"/>
        </w:rPr>
      </w:pPr>
      <w:r>
        <w:rPr>
          <w:rFonts w:hint="eastAsia"/>
        </w:rPr>
        <w:t>&lt;①&gt;层、杂</w:t>
      </w:r>
      <w:r>
        <w:t>填土：</w:t>
      </w:r>
      <w:r>
        <w:rPr>
          <w:rFonts w:hint="eastAsia"/>
        </w:rPr>
        <w:t>杂色,深灰色;稍湿-湿;松散-稍密;稍欠压实;成份以碎石块、淤质粉质粘土含中粗砂为主;碎石块含约10%直径多为2-7cm;其中0.00-0.30m为砼;堆填时间大于3年，小于10年。层厚2.80～4.30m，平均厚度为3.46m；层顶标高3.71～5.38m，平均标高为4.45m；本层位于地表。</w:t>
      </w:r>
    </w:p>
    <w:p>
      <w:pPr>
        <w:bidi w:val="0"/>
        <w:rPr>
          <w:rFonts w:hint="eastAsia"/>
        </w:rPr>
      </w:pPr>
      <w:r>
        <w:rPr>
          <w:rFonts w:hint="eastAsia"/>
        </w:rPr>
        <w:t>本层进行标贯试验6次，其实测击数N’=4～6击，平均4.8击；校正击数N=3.9～5.7击，平均4.70击。</w:t>
      </w:r>
      <w:r>
        <w:t>根据本次勘察成果</w:t>
      </w:r>
      <w:r>
        <w:rPr>
          <w:rFonts w:hint="eastAsia"/>
        </w:rPr>
        <w:t>结合工程经验</w:t>
      </w:r>
      <w:r>
        <w:t>，建议本层土地基承载力基本容许值[fa0]=</w:t>
      </w:r>
      <w:r>
        <w:rPr>
          <w:rFonts w:hint="eastAsia"/>
        </w:rPr>
        <w:t>80</w:t>
      </w:r>
      <w:r>
        <w:t>kPa。</w:t>
      </w:r>
    </w:p>
    <w:p>
      <w:pPr>
        <w:pStyle w:val="5"/>
        <w:bidi w:val="0"/>
      </w:pPr>
      <w:bookmarkStart w:id="10" w:name="_Toc24566060"/>
      <w:r>
        <w:rPr>
          <w:rFonts w:hint="eastAsia"/>
        </w:rPr>
        <w:t>冲洪积层</w:t>
      </w:r>
      <w:r>
        <w:t>(Q</w:t>
      </w:r>
      <w:r>
        <w:rPr>
          <w:rFonts w:hint="eastAsia"/>
        </w:rPr>
        <w:t>4a</w:t>
      </w:r>
      <w:r>
        <w:t>l</w:t>
      </w:r>
      <w:r>
        <w:rPr>
          <w:rFonts w:hint="eastAsia"/>
        </w:rPr>
        <w:t>+pl</w:t>
      </w:r>
      <w:r>
        <w:t>)</w:t>
      </w:r>
      <w:bookmarkEnd w:id="10"/>
    </w:p>
    <w:p>
      <w:pPr>
        <w:bidi w:val="0"/>
        <w:rPr>
          <w:rFonts w:hint="eastAsia"/>
        </w:rPr>
      </w:pPr>
      <w:r>
        <w:rPr>
          <w:rFonts w:hint="eastAsia"/>
        </w:rPr>
        <w:t>&lt;②-0&gt;层、淤泥</w:t>
      </w:r>
      <w:r>
        <w:t>：</w:t>
      </w:r>
      <w:r>
        <w:rPr>
          <w:rFonts w:hint="eastAsia"/>
        </w:rPr>
        <w:t>深灰色,灰褐黑色;饱和;流-软塑;粘性较强;稍具臭味;局部含少量粉细砂及含少量腐植质</w:t>
      </w:r>
      <w:r>
        <w:t>。</w:t>
      </w:r>
      <w:r>
        <w:rPr>
          <w:rFonts w:hint="eastAsia"/>
        </w:rPr>
        <w:t>本层共15个钻孔揭露，层厚2.10～3.80m，平均厚度为2.77m；层顶标高3.71～7.10m，平均标高为4.76m，层顶埋深0.00～4.30m，平均埋深为3.02m。</w:t>
      </w:r>
    </w:p>
    <w:p>
      <w:pPr>
        <w:bidi w:val="0"/>
        <w:rPr>
          <w:rFonts w:hint="eastAsia"/>
        </w:rPr>
      </w:pPr>
      <w:r>
        <w:t>本层取得</w:t>
      </w:r>
      <w:r>
        <w:rPr>
          <w:rFonts w:hint="eastAsia"/>
        </w:rPr>
        <w:t>9</w:t>
      </w:r>
      <w:r>
        <w:t>件土样进行常规试验</w:t>
      </w:r>
      <w:r>
        <w:rPr>
          <w:rFonts w:hint="eastAsia"/>
        </w:rPr>
        <w:t>，进行标贯试验12次，其实测击数N’=1～3击，平均2.1击；校正击数N=1.0～2.8击，平均1.91击。</w:t>
      </w:r>
      <w:r>
        <w:t>根据本次勘察成果，结合地区经验</w:t>
      </w:r>
      <w:r>
        <w:rPr>
          <w:rFonts w:hint="eastAsia"/>
        </w:rPr>
        <w:t>，</w:t>
      </w:r>
      <w:r>
        <w:t>建议本层土地基承载力基本容许值[fa0]=</w:t>
      </w:r>
      <w:r>
        <w:rPr>
          <w:rFonts w:hint="eastAsia"/>
        </w:rPr>
        <w:t>60</w:t>
      </w:r>
      <w:r>
        <w:t>kPa。</w:t>
      </w:r>
    </w:p>
    <w:p>
      <w:pPr>
        <w:bidi w:val="0"/>
        <w:rPr>
          <w:rFonts w:hint="eastAsia"/>
        </w:rPr>
      </w:pPr>
      <w:r>
        <w:rPr>
          <w:rFonts w:hint="eastAsia"/>
        </w:rPr>
        <w:t>&lt;②-1&gt;层、中砂</w:t>
      </w:r>
      <w:r>
        <w:t>：</w:t>
      </w:r>
      <w:r>
        <w:rPr>
          <w:rFonts w:hint="eastAsia"/>
        </w:rPr>
        <w:t>深灰色,暗灰褐色;主要由细石英颗粒组成;分选性一般;级配较好;饱和;松散-稍密;含少量淤质粘粒;局部夹薄层粉细砂</w:t>
      </w:r>
      <w:r>
        <w:t>。</w:t>
      </w:r>
      <w:r>
        <w:rPr>
          <w:rFonts w:hint="eastAsia"/>
        </w:rPr>
        <w:t>本层共15个钻孔揭露，层厚2.90～3.80m，平均厚度为3.43m；层顶标高3.30～5.00m，平均标高为3.96m，层顶埋深3.20～3.80m，平均埋深为3.50m。</w:t>
      </w:r>
    </w:p>
    <w:p>
      <w:pPr>
        <w:bidi w:val="0"/>
        <w:rPr>
          <w:rFonts w:hint="eastAsia"/>
        </w:rPr>
      </w:pPr>
      <w:r>
        <w:t>本层取得</w:t>
      </w:r>
      <w:r>
        <w:rPr>
          <w:rFonts w:hint="eastAsia"/>
        </w:rPr>
        <w:t>5</w:t>
      </w:r>
      <w:r>
        <w:t>件土样进行常规试验</w:t>
      </w:r>
      <w:r>
        <w:rPr>
          <w:rFonts w:hint="eastAsia"/>
        </w:rPr>
        <w:t>，进行标贯试验3次，其实测击数N’=7～10击，平均8.3击；校正击数N=6.3～9.0击，平均7.50击。</w:t>
      </w:r>
      <w:r>
        <w:t>根据本次勘察成果，结合地区经验</w:t>
      </w:r>
      <w:r>
        <w:rPr>
          <w:rFonts w:hint="eastAsia"/>
        </w:rPr>
        <w:t>，</w:t>
      </w:r>
      <w:r>
        <w:t>建议本层土地基承载力基本容许值[fa0]=</w:t>
      </w:r>
      <w:r>
        <w:rPr>
          <w:rFonts w:hint="eastAsia"/>
        </w:rPr>
        <w:t>160</w:t>
      </w:r>
      <w:r>
        <w:t>kPa。</w:t>
      </w:r>
    </w:p>
    <w:p>
      <w:pPr>
        <w:bidi w:val="0"/>
        <w:rPr>
          <w:rFonts w:hint="eastAsia"/>
        </w:rPr>
      </w:pPr>
      <w:r>
        <w:rPr>
          <w:rFonts w:hint="eastAsia"/>
        </w:rPr>
        <w:t>&lt;②-3&gt;层、粉质粘土</w:t>
      </w:r>
      <w:r>
        <w:t>：</w:t>
      </w:r>
      <w:r>
        <w:rPr>
          <w:rFonts w:hint="eastAsia"/>
        </w:rPr>
        <w:t>棕粉红色,浅灰色,浅褐黄色;主要由粘粒及粉粒组成;粘性较强;刀切面较光滑;干强度中等;湿;可塑</w:t>
      </w:r>
      <w:r>
        <w:t>。</w:t>
      </w:r>
      <w:r>
        <w:rPr>
          <w:rFonts w:hint="eastAsia"/>
        </w:rPr>
        <w:t>本层共16个钻孔揭露，层厚2.50～4.70m，平均厚度为3.50m；层顶标高-0.01～2.42m，平均标高为1.53m，层顶埋深5.50～7.10m，平均埋深为6.28m。</w:t>
      </w:r>
    </w:p>
    <w:p>
      <w:pPr>
        <w:bidi w:val="0"/>
        <w:rPr>
          <w:rFonts w:hint="eastAsia"/>
        </w:rPr>
      </w:pPr>
      <w:r>
        <w:t>本层取得</w:t>
      </w:r>
      <w:r>
        <w:rPr>
          <w:rFonts w:hint="eastAsia"/>
        </w:rPr>
        <w:t>11</w:t>
      </w:r>
      <w:r>
        <w:t>件土样进行常规试验</w:t>
      </w:r>
      <w:r>
        <w:rPr>
          <w:rFonts w:hint="eastAsia"/>
        </w:rPr>
        <w:t>，进行标贯试验15次，其实测击数N’=8～10击，平均8.6击；校正击数N=6.7～8.1击，平均7.30击。</w:t>
      </w:r>
      <w:r>
        <w:t>根据本次勘察成果，结合地区经验</w:t>
      </w:r>
      <w:r>
        <w:rPr>
          <w:rFonts w:hint="eastAsia"/>
        </w:rPr>
        <w:t>，</w:t>
      </w:r>
      <w:r>
        <w:t>建议本层土地基承载力基本容许值[fa0]=</w:t>
      </w:r>
      <w:r>
        <w:rPr>
          <w:rFonts w:hint="eastAsia"/>
        </w:rPr>
        <w:t>130</w:t>
      </w:r>
      <w:r>
        <w:t>kPa。</w:t>
      </w:r>
    </w:p>
    <w:p>
      <w:pPr>
        <w:pStyle w:val="5"/>
        <w:bidi w:val="0"/>
        <w:rPr>
          <w:rFonts w:hint="eastAsia"/>
        </w:rPr>
      </w:pPr>
      <w:bookmarkStart w:id="11" w:name="_Toc24566061"/>
      <w:r>
        <w:rPr>
          <w:rFonts w:hint="eastAsia"/>
        </w:rPr>
        <w:t>基岩风化层</w:t>
      </w:r>
      <w:bookmarkEnd w:id="11"/>
    </w:p>
    <w:p>
      <w:pPr>
        <w:bidi w:val="0"/>
      </w:pPr>
      <w:r>
        <w:rPr>
          <w:rFonts w:hint="eastAsia" w:hAnsi="宋体"/>
        </w:rPr>
        <w:t>场</w:t>
      </w:r>
      <w:r>
        <w:rPr>
          <w:rFonts w:hint="eastAsia"/>
        </w:rPr>
        <w:t>地下卧基岩为白垩系泥质粉砂岩（K）。在勘察钻孔深度范围内白垩系泥质粉砂岩揭露有全风化、强风化、中风化和微风化四层。分述如下：</w:t>
      </w:r>
    </w:p>
    <w:p>
      <w:pPr>
        <w:bidi w:val="0"/>
        <w:rPr>
          <w:rFonts w:hint="eastAsia"/>
        </w:rPr>
      </w:pPr>
      <w:r>
        <w:rPr>
          <w:rFonts w:hint="eastAsia"/>
        </w:rPr>
        <w:t>&lt;③-1&gt;层、全风化泥质粉砂岩</w:t>
      </w:r>
      <w:r>
        <w:t>：</w:t>
      </w:r>
      <w:r>
        <w:rPr>
          <w:rFonts w:hint="eastAsia"/>
        </w:rPr>
        <w:t>棕红色,褐红色;岩石风化剧烈;原岩结构尚可分辨;岩芯呈坚硬土柱状;手捏可碎;浸水软化崩解;风化裂隙发育，岩体基本质量等级分类为V级</w:t>
      </w:r>
      <w:r>
        <w:t>。</w:t>
      </w:r>
      <w:r>
        <w:rPr>
          <w:rFonts w:hint="eastAsia"/>
        </w:rPr>
        <w:t>本层共16个钻孔揭露，层厚1.80～4.50m，平均厚度为3.05m；层顶标高-4.41～-0.08m，平均标高为-1.97m，层顶埋深8.00～11.50m，平均埋深为9.78m。</w:t>
      </w:r>
    </w:p>
    <w:p>
      <w:pPr>
        <w:bidi w:val="0"/>
        <w:rPr>
          <w:rFonts w:hint="eastAsia"/>
        </w:rPr>
      </w:pPr>
      <w:r>
        <w:t>本层取得</w:t>
      </w:r>
      <w:r>
        <w:rPr>
          <w:rFonts w:hint="eastAsia"/>
        </w:rPr>
        <w:t>7</w:t>
      </w:r>
      <w:r>
        <w:t>件土样进行常规试验</w:t>
      </w:r>
      <w:r>
        <w:rPr>
          <w:rFonts w:hint="eastAsia"/>
        </w:rPr>
        <w:t>，</w:t>
      </w:r>
      <w:r>
        <w:t>本层</w:t>
      </w:r>
      <w:r>
        <w:rPr>
          <w:rFonts w:hint="eastAsia"/>
        </w:rPr>
        <w:t>进行标贯试验14次，其实测击数N’=32～35击，平均33.3击；校正击数N=24.9～28.4击，平均26.72击。</w:t>
      </w:r>
      <w:r>
        <w:t>根据本次勘察成果，结合地区经验</w:t>
      </w:r>
      <w:r>
        <w:rPr>
          <w:rFonts w:hint="eastAsia"/>
        </w:rPr>
        <w:t>，</w:t>
      </w:r>
      <w:r>
        <w:t>建议本层土地基承载力基本容许值[fa0]=</w:t>
      </w:r>
      <w:r>
        <w:rPr>
          <w:rFonts w:hint="eastAsia"/>
        </w:rPr>
        <w:t>300</w:t>
      </w:r>
      <w:r>
        <w:t>kPa</w:t>
      </w:r>
      <w:r>
        <w:rPr>
          <w:rFonts w:hint="eastAsia"/>
        </w:rPr>
        <w:t>。</w:t>
      </w:r>
    </w:p>
    <w:p>
      <w:pPr>
        <w:bidi w:val="0"/>
        <w:rPr>
          <w:rFonts w:hint="eastAsia"/>
        </w:rPr>
      </w:pPr>
      <w:r>
        <w:rPr>
          <w:rFonts w:hint="eastAsia"/>
        </w:rPr>
        <w:t>&lt;③-2&gt;层、强风化泥质粉砂岩</w:t>
      </w:r>
      <w:r>
        <w:t>：</w:t>
      </w:r>
      <w:r>
        <w:rPr>
          <w:rFonts w:hint="eastAsia"/>
        </w:rPr>
        <w:t>褐红色,棕红色;岩石风化强烈;岩芯半岩半土状,碎块状;岩石锤击易碎;风化裂隙发育;局部含较多偏向中风化岩碎块;岩体破碎;为极软岩;岩体基本质量等级为Ⅴ类</w:t>
      </w:r>
      <w:r>
        <w:t>。</w:t>
      </w:r>
      <w:r>
        <w:rPr>
          <w:rFonts w:hint="eastAsia"/>
        </w:rPr>
        <w:t>本层共16个钻孔揭露，层厚1.50～8.60m，平均厚度为3.70m；层顶标高-30.80～-3.00m，平均标高为-9.13m，层顶埋深11.00～39.00m，平均埋深为16.90m。</w:t>
      </w:r>
    </w:p>
    <w:p>
      <w:pPr>
        <w:bidi w:val="0"/>
        <w:rPr>
          <w:rFonts w:hint="eastAsia"/>
        </w:rPr>
      </w:pPr>
      <w:r>
        <w:t>本层</w:t>
      </w:r>
      <w:r>
        <w:rPr>
          <w:rFonts w:hint="eastAsia"/>
        </w:rPr>
        <w:t>进行标贯试验12次，其实测击数N’=51～55击，平均52.8击；校正击数N=37.9～42.3击，平均40.08击。</w:t>
      </w:r>
      <w:r>
        <w:t>根据本次勘察成果，结合地区经验</w:t>
      </w:r>
      <w:r>
        <w:rPr>
          <w:rFonts w:hint="eastAsia"/>
        </w:rPr>
        <w:t>，</w:t>
      </w:r>
      <w:r>
        <w:t>建议本层岩石地基承载力基本容许值[fa0]=</w:t>
      </w:r>
      <w:r>
        <w:rPr>
          <w:rFonts w:hint="eastAsia"/>
        </w:rPr>
        <w:t>500</w:t>
      </w:r>
      <w:r>
        <w:t>kPa</w:t>
      </w:r>
      <w:r>
        <w:rPr>
          <w:rFonts w:hint="eastAsia"/>
        </w:rPr>
        <w:t>。</w:t>
      </w:r>
    </w:p>
    <w:p>
      <w:pPr>
        <w:bidi w:val="0"/>
        <w:rPr>
          <w:rFonts w:hint="eastAsia"/>
        </w:rPr>
      </w:pPr>
      <w:r>
        <w:rPr>
          <w:rFonts w:hint="eastAsia"/>
        </w:rPr>
        <w:t>&lt;③-3&gt;层、中风化泥质粉砂岩</w:t>
      </w:r>
      <w:r>
        <w:t>：</w:t>
      </w:r>
      <w:r>
        <w:rPr>
          <w:rFonts w:hint="eastAsia"/>
        </w:rPr>
        <w:t>棕红色,褐红色;微细粒结构;泥质胶结;层状构造;岩芯呈短柱状,局部岩芯呈块状-碎块状偏向强风化岩;岩石锤击较易碎-较难碎;风化裂隙发育;岩体较破碎-较完整;为软岩-较软岩;岩体基本质量等级为Ⅴ类，岩体基本质量等级分类为V级</w:t>
      </w:r>
      <w:r>
        <w:t>。</w:t>
      </w:r>
      <w:r>
        <w:rPr>
          <w:rFonts w:hint="eastAsia"/>
        </w:rPr>
        <w:t>本层共16个钻孔揭露，层厚1.50～14.50m，平均厚度为7.59m；层顶标高-32.80～-7.48m，平均标高为-12.25m，层顶埋深15.30～41.00m，平均埋深为19.99m。</w:t>
      </w:r>
    </w:p>
    <w:p>
      <w:pPr>
        <w:bidi w:val="0"/>
        <w:rPr>
          <w:rFonts w:hint="eastAsia"/>
        </w:rPr>
      </w:pPr>
      <w:r>
        <w:t>建议本层岩石地基承载力基本容许值[fa0]=</w:t>
      </w:r>
      <w:r>
        <w:rPr>
          <w:rFonts w:hint="eastAsia"/>
        </w:rPr>
        <w:t>1500</w:t>
      </w:r>
      <w:r>
        <w:t>kPa</w:t>
      </w:r>
      <w:r>
        <w:rPr>
          <w:rFonts w:hint="eastAsia"/>
        </w:rPr>
        <w:t>。</w:t>
      </w:r>
    </w:p>
    <w:p>
      <w:pPr>
        <w:bidi w:val="0"/>
        <w:rPr>
          <w:rFonts w:hint="eastAsia"/>
        </w:rPr>
      </w:pPr>
      <w:r>
        <w:rPr>
          <w:rFonts w:hint="eastAsia"/>
        </w:rPr>
        <w:t>&lt;③-4&gt;层、微风化泥质粉砂岩</w:t>
      </w:r>
      <w:r>
        <w:t>：</w:t>
      </w:r>
      <w:r>
        <w:rPr>
          <w:rFonts w:hint="eastAsia"/>
        </w:rPr>
        <w:t>棕红色,褐红色;微细粒结构;泥质胶结;中厚层状构造;岩芯呈短柱状-柱状,少量呈块状;岩石锤击较难碎;裂隙稍发育;岩体较完整-完整;为较软岩-较硬岩;岩体基质量等级为Ⅳ类</w:t>
      </w:r>
      <w:r>
        <w:t>。</w:t>
      </w:r>
      <w:r>
        <w:rPr>
          <w:rFonts w:hint="eastAsia"/>
        </w:rPr>
        <w:t>本层共10个钻孔揭露，层厚6.90～11.00m，平均厚度为8.94m；层顶标高-26.91～-10.10m，平均标高为-19.33m，层顶埋深18.30～34.00m，平均埋深为27.03m。</w:t>
      </w:r>
    </w:p>
    <w:p>
      <w:pPr>
        <w:bidi w:val="0"/>
        <w:rPr>
          <w:rFonts w:hint="eastAsia"/>
        </w:rPr>
      </w:pPr>
      <w:r>
        <w:t>本层取得</w:t>
      </w:r>
      <w:r>
        <w:rPr>
          <w:rFonts w:hint="eastAsia"/>
        </w:rPr>
        <w:t>6</w:t>
      </w:r>
      <w:r>
        <w:t>件</w:t>
      </w:r>
      <w:r>
        <w:rPr>
          <w:rFonts w:hint="eastAsia"/>
        </w:rPr>
        <w:t>岩样</w:t>
      </w:r>
      <w:r>
        <w:t>进行</w:t>
      </w:r>
      <w:r>
        <w:rPr>
          <w:rFonts w:hint="eastAsia"/>
        </w:rPr>
        <w:t>饱和状态下的抗压强度试验</w:t>
      </w:r>
      <w:r>
        <w:t>。根据本次勘察成果，结合地区经验</w:t>
      </w:r>
      <w:r>
        <w:rPr>
          <w:rFonts w:hint="eastAsia"/>
        </w:rPr>
        <w:t>，</w:t>
      </w:r>
      <w:r>
        <w:t>建议本层岩石地基承载力基本容许值[fa0]=</w:t>
      </w:r>
      <w:r>
        <w:rPr>
          <w:rFonts w:hint="eastAsia"/>
        </w:rPr>
        <w:t>1700</w:t>
      </w:r>
      <w:r>
        <w:t>kPa</w:t>
      </w:r>
      <w:r>
        <w:rPr>
          <w:rFonts w:hint="eastAsia"/>
        </w:rPr>
        <w:t>。</w:t>
      </w:r>
    </w:p>
    <w:p>
      <w:pPr>
        <w:pStyle w:val="3"/>
        <w:bidi w:val="0"/>
        <w:rPr>
          <w:rFonts w:hint="default"/>
          <w:lang w:val="en-US" w:eastAsia="zh-CN"/>
        </w:rPr>
      </w:pPr>
      <w:r>
        <w:rPr>
          <w:rFonts w:hint="eastAsia"/>
        </w:rPr>
        <w:t xml:space="preserve">  设计依据及采用规范、规程</w:t>
      </w:r>
      <w:r>
        <w:t xml:space="preserve"> </w:t>
      </w:r>
    </w:p>
    <w:p>
      <w:pPr>
        <w:pStyle w:val="4"/>
        <w:numPr>
          <w:ilvl w:val="0"/>
          <w:numId w:val="6"/>
        </w:numPr>
        <w:bidi w:val="0"/>
        <w:rPr>
          <w:rFonts w:hint="eastAsia"/>
          <w:lang w:val="en-US" w:eastAsia="zh-CN"/>
        </w:rPr>
      </w:pPr>
      <w:r>
        <w:rPr>
          <w:rFonts w:hint="eastAsia"/>
          <w:lang w:val="en-US" w:eastAsia="zh-CN"/>
        </w:rPr>
        <w:t>设计规范</w:t>
      </w:r>
    </w:p>
    <w:p>
      <w:pPr>
        <w:numPr>
          <w:ilvl w:val="0"/>
          <w:numId w:val="7"/>
        </w:numPr>
        <w:bidi w:val="0"/>
        <w:rPr>
          <w:rFonts w:hint="eastAsia"/>
          <w:lang w:val="en-US" w:eastAsia="zh-CN"/>
        </w:rPr>
      </w:pPr>
      <w:r>
        <w:rPr>
          <w:rFonts w:hint="eastAsia"/>
          <w:lang w:eastAsia="zh-CN"/>
        </w:rPr>
        <w:t>《</w:t>
      </w:r>
      <w:r>
        <w:rPr>
          <w:rFonts w:hint="eastAsia"/>
        </w:rPr>
        <w:t>城市桥梁设计规范》（CJJ 11-2011）</w:t>
      </w:r>
    </w:p>
    <w:p>
      <w:pPr>
        <w:numPr>
          <w:ilvl w:val="0"/>
          <w:numId w:val="7"/>
        </w:numPr>
        <w:bidi w:val="0"/>
        <w:rPr>
          <w:rFonts w:hint="eastAsia"/>
          <w:lang w:val="en-US" w:eastAsia="zh-CN"/>
        </w:rPr>
      </w:pPr>
      <w:r>
        <w:rPr>
          <w:rFonts w:hint="eastAsia"/>
          <w:lang w:eastAsia="zh-CN"/>
        </w:rPr>
        <w:t>《城市桥梁抗震设计规范》（CJJ 166-2011）</w:t>
      </w:r>
    </w:p>
    <w:p>
      <w:pPr>
        <w:numPr>
          <w:ilvl w:val="0"/>
          <w:numId w:val="7"/>
        </w:numPr>
        <w:bidi w:val="0"/>
        <w:rPr>
          <w:rFonts w:hint="eastAsia"/>
          <w:lang w:val="en-US" w:eastAsia="zh-CN"/>
        </w:rPr>
      </w:pPr>
      <w:r>
        <w:rPr>
          <w:rFonts w:hint="eastAsia"/>
          <w:lang w:eastAsia="zh-CN"/>
        </w:rPr>
        <w:t>《公路工程技术标准》（JTG B01-2014）</w:t>
      </w:r>
    </w:p>
    <w:p>
      <w:pPr>
        <w:numPr>
          <w:ilvl w:val="0"/>
          <w:numId w:val="7"/>
        </w:numPr>
        <w:bidi w:val="0"/>
        <w:rPr>
          <w:rFonts w:hint="eastAsia"/>
          <w:lang w:val="en-US" w:eastAsia="zh-CN"/>
        </w:rPr>
      </w:pPr>
      <w:r>
        <w:rPr>
          <w:rFonts w:hint="eastAsia"/>
          <w:lang w:eastAsia="zh-CN"/>
        </w:rPr>
        <w:t>《公路桥涵设计通用规范》（JTG D60-2015）</w:t>
      </w:r>
    </w:p>
    <w:p>
      <w:pPr>
        <w:numPr>
          <w:ilvl w:val="0"/>
          <w:numId w:val="7"/>
        </w:numPr>
        <w:bidi w:val="0"/>
        <w:rPr>
          <w:rFonts w:hint="eastAsia"/>
          <w:lang w:val="en-US" w:eastAsia="zh-CN"/>
        </w:rPr>
      </w:pPr>
      <w:r>
        <w:rPr>
          <w:rFonts w:hint="eastAsia"/>
          <w:lang w:eastAsia="zh-CN"/>
        </w:rPr>
        <w:t>《公路圬工桥涵设计规范》（JTG D61-2005）</w:t>
      </w:r>
    </w:p>
    <w:p>
      <w:pPr>
        <w:numPr>
          <w:ilvl w:val="0"/>
          <w:numId w:val="7"/>
        </w:numPr>
        <w:bidi w:val="0"/>
        <w:rPr>
          <w:rFonts w:hint="eastAsia"/>
          <w:lang w:val="en-US" w:eastAsia="zh-CN"/>
        </w:rPr>
      </w:pPr>
      <w:r>
        <w:rPr>
          <w:rFonts w:hint="eastAsia"/>
          <w:lang w:eastAsia="zh-CN"/>
        </w:rPr>
        <w:t xml:space="preserve">《公路钢筋混凝土及预应力混凝土桥涵设计规范》（JTG </w:t>
      </w:r>
      <w:r>
        <w:rPr>
          <w:rFonts w:hint="eastAsia"/>
          <w:lang w:val="en-US" w:eastAsia="zh-CN"/>
        </w:rPr>
        <w:t>3362</w:t>
      </w:r>
      <w:r>
        <w:rPr>
          <w:rFonts w:hint="eastAsia"/>
          <w:lang w:eastAsia="zh-CN"/>
        </w:rPr>
        <w:t>-20</w:t>
      </w:r>
      <w:r>
        <w:rPr>
          <w:rFonts w:hint="eastAsia"/>
          <w:lang w:val="en-US" w:eastAsia="zh-CN"/>
        </w:rPr>
        <w:t>18</w:t>
      </w:r>
      <w:r>
        <w:rPr>
          <w:rFonts w:hint="eastAsia"/>
          <w:lang w:eastAsia="zh-CN"/>
        </w:rPr>
        <w:t>）</w:t>
      </w:r>
    </w:p>
    <w:p>
      <w:pPr>
        <w:numPr>
          <w:ilvl w:val="0"/>
          <w:numId w:val="7"/>
        </w:numPr>
        <w:bidi w:val="0"/>
        <w:rPr>
          <w:rFonts w:hint="eastAsia"/>
          <w:lang w:val="en-US" w:eastAsia="zh-CN"/>
        </w:rPr>
      </w:pPr>
      <w:r>
        <w:rPr>
          <w:rFonts w:hint="eastAsia"/>
          <w:lang w:eastAsia="zh-CN"/>
        </w:rPr>
        <w:t>《公路桥涵地基与基础设计规范》（JTG</w:t>
      </w:r>
      <w:r>
        <w:rPr>
          <w:rFonts w:hint="eastAsia"/>
          <w:lang w:val="en-US" w:eastAsia="zh-CN"/>
        </w:rPr>
        <w:t>3363</w:t>
      </w:r>
      <w:r>
        <w:rPr>
          <w:rFonts w:hint="eastAsia"/>
          <w:lang w:eastAsia="zh-CN"/>
        </w:rPr>
        <w:t>-2</w:t>
      </w:r>
      <w:r>
        <w:rPr>
          <w:rFonts w:hint="eastAsia"/>
          <w:lang w:val="en-US" w:eastAsia="zh-CN"/>
        </w:rPr>
        <w:t>019</w:t>
      </w:r>
      <w:r>
        <w:rPr>
          <w:rFonts w:hint="eastAsia"/>
          <w:lang w:eastAsia="zh-CN"/>
        </w:rPr>
        <w:t>）</w:t>
      </w:r>
    </w:p>
    <w:p>
      <w:pPr>
        <w:numPr>
          <w:ilvl w:val="0"/>
          <w:numId w:val="7"/>
        </w:numPr>
        <w:bidi w:val="0"/>
        <w:rPr>
          <w:rFonts w:hint="eastAsia"/>
          <w:lang w:val="en-US" w:eastAsia="zh-CN"/>
        </w:rPr>
      </w:pPr>
      <w:r>
        <w:rPr>
          <w:rFonts w:hint="eastAsia"/>
          <w:lang w:eastAsia="zh-CN"/>
        </w:rPr>
        <w:t>《</w:t>
      </w:r>
      <w:r>
        <w:rPr>
          <w:rFonts w:hint="eastAsia"/>
          <w:lang w:val="zh-CN" w:eastAsia="zh-CN"/>
        </w:rPr>
        <w:t>建筑与市政地基基础通用规范</w:t>
      </w:r>
      <w:r>
        <w:rPr>
          <w:rFonts w:hint="eastAsia"/>
          <w:lang w:eastAsia="zh-CN"/>
        </w:rPr>
        <w:t>》（</w:t>
      </w:r>
      <w:r>
        <w:rPr>
          <w:rFonts w:hint="eastAsia"/>
          <w:lang w:val="en-US" w:eastAsia="zh-CN"/>
        </w:rPr>
        <w:t>GB</w:t>
      </w:r>
      <w:r>
        <w:rPr>
          <w:rFonts w:hint="eastAsia"/>
          <w:lang w:eastAsia="zh-CN"/>
        </w:rPr>
        <w:t xml:space="preserve"> </w:t>
      </w:r>
      <w:r>
        <w:rPr>
          <w:rFonts w:hint="eastAsia"/>
          <w:lang w:val="en-US" w:eastAsia="zh-CN"/>
        </w:rPr>
        <w:t>55003</w:t>
      </w:r>
      <w:r>
        <w:rPr>
          <w:rFonts w:hint="eastAsia"/>
          <w:lang w:eastAsia="zh-CN"/>
        </w:rPr>
        <w:t>-20</w:t>
      </w:r>
      <w:r>
        <w:rPr>
          <w:rFonts w:hint="eastAsia"/>
          <w:lang w:val="en-US" w:eastAsia="zh-CN"/>
        </w:rPr>
        <w:t>21</w:t>
      </w:r>
      <w:r>
        <w:rPr>
          <w:rFonts w:hint="eastAsia"/>
          <w:lang w:eastAsia="zh-CN"/>
        </w:rPr>
        <w:t>）</w:t>
      </w:r>
    </w:p>
    <w:p>
      <w:pPr>
        <w:numPr>
          <w:ilvl w:val="0"/>
          <w:numId w:val="7"/>
        </w:numPr>
        <w:bidi w:val="0"/>
        <w:rPr>
          <w:rFonts w:hint="eastAsia"/>
          <w:lang w:val="en-US" w:eastAsia="zh-CN"/>
        </w:rPr>
      </w:pPr>
      <w:r>
        <w:rPr>
          <w:rFonts w:hint="eastAsia"/>
          <w:lang w:eastAsia="zh-CN"/>
        </w:rPr>
        <w:t>《</w:t>
      </w:r>
      <w:r>
        <w:rPr>
          <w:rFonts w:hint="eastAsia"/>
          <w:lang w:val="zh-CN" w:eastAsia="zh-CN"/>
        </w:rPr>
        <w:t>建筑与市政</w:t>
      </w:r>
      <w:r>
        <w:rPr>
          <w:rFonts w:hint="eastAsia"/>
          <w:lang w:val="en-US" w:eastAsia="zh-CN"/>
        </w:rPr>
        <w:t>工程抗震</w:t>
      </w:r>
      <w:r>
        <w:rPr>
          <w:rFonts w:hint="eastAsia"/>
          <w:lang w:val="zh-CN" w:eastAsia="zh-CN"/>
        </w:rPr>
        <w:t>通用规范</w:t>
      </w:r>
      <w:r>
        <w:rPr>
          <w:rFonts w:hint="eastAsia"/>
          <w:lang w:eastAsia="zh-CN"/>
        </w:rPr>
        <w:t>》（</w:t>
      </w:r>
      <w:r>
        <w:rPr>
          <w:rFonts w:hint="eastAsia"/>
          <w:lang w:val="en-US" w:eastAsia="zh-CN"/>
        </w:rPr>
        <w:t>GB</w:t>
      </w:r>
      <w:r>
        <w:rPr>
          <w:rFonts w:hint="eastAsia"/>
          <w:lang w:eastAsia="zh-CN"/>
        </w:rPr>
        <w:t xml:space="preserve"> </w:t>
      </w:r>
      <w:r>
        <w:rPr>
          <w:rFonts w:hint="eastAsia"/>
          <w:lang w:val="en-US" w:eastAsia="zh-CN"/>
        </w:rPr>
        <w:t>55002</w:t>
      </w:r>
      <w:r>
        <w:rPr>
          <w:rFonts w:hint="eastAsia"/>
          <w:lang w:eastAsia="zh-CN"/>
        </w:rPr>
        <w:t>-20</w:t>
      </w:r>
      <w:r>
        <w:rPr>
          <w:rFonts w:hint="eastAsia"/>
          <w:lang w:val="en-US" w:eastAsia="zh-CN"/>
        </w:rPr>
        <w:t>21</w:t>
      </w:r>
      <w:r>
        <w:rPr>
          <w:rFonts w:hint="eastAsia"/>
          <w:lang w:eastAsia="zh-CN"/>
        </w:rPr>
        <w:t>）</w:t>
      </w:r>
    </w:p>
    <w:p>
      <w:pPr>
        <w:numPr>
          <w:ilvl w:val="0"/>
          <w:numId w:val="7"/>
        </w:numPr>
        <w:bidi w:val="0"/>
        <w:rPr>
          <w:rFonts w:hint="eastAsia"/>
          <w:lang w:val="en-US" w:eastAsia="zh-CN"/>
        </w:rPr>
      </w:pPr>
      <w:r>
        <w:rPr>
          <w:rFonts w:hint="eastAsia"/>
          <w:lang w:eastAsia="zh-CN"/>
        </w:rPr>
        <w:t>《公路桥梁抗震设计规范》（JTG∕T 2231-01 2020）</w:t>
      </w:r>
    </w:p>
    <w:p>
      <w:pPr>
        <w:numPr>
          <w:ilvl w:val="0"/>
          <w:numId w:val="7"/>
        </w:numPr>
        <w:bidi w:val="0"/>
        <w:rPr>
          <w:rFonts w:hint="eastAsia"/>
          <w:lang w:val="en-US" w:eastAsia="zh-CN"/>
        </w:rPr>
      </w:pPr>
      <w:r>
        <w:rPr>
          <w:rFonts w:hint="eastAsia"/>
          <w:lang w:eastAsia="zh-CN"/>
        </w:rPr>
        <w:t xml:space="preserve">《公路桥涵施工技术规范》（JTG/T </w:t>
      </w:r>
      <w:r>
        <w:rPr>
          <w:rFonts w:hint="eastAsia"/>
          <w:lang w:val="en-US" w:eastAsia="zh-CN"/>
        </w:rPr>
        <w:t>3650</w:t>
      </w:r>
      <w:r>
        <w:rPr>
          <w:rFonts w:hint="eastAsia"/>
          <w:lang w:eastAsia="zh-CN"/>
        </w:rPr>
        <w:t>-20</w:t>
      </w:r>
      <w:r>
        <w:rPr>
          <w:rFonts w:hint="eastAsia"/>
          <w:lang w:val="en-US" w:eastAsia="zh-CN"/>
        </w:rPr>
        <w:t>20</w:t>
      </w:r>
      <w:r>
        <w:rPr>
          <w:rFonts w:hint="eastAsia"/>
          <w:lang w:eastAsia="zh-CN"/>
        </w:rPr>
        <w:t>）</w:t>
      </w:r>
    </w:p>
    <w:p>
      <w:pPr>
        <w:numPr>
          <w:ilvl w:val="0"/>
          <w:numId w:val="7"/>
        </w:numPr>
        <w:bidi w:val="0"/>
        <w:rPr>
          <w:rFonts w:hint="eastAsia"/>
          <w:lang w:val="en-US" w:eastAsia="zh-CN"/>
        </w:rPr>
      </w:pPr>
      <w:r>
        <w:rPr>
          <w:rFonts w:hint="eastAsia"/>
          <w:lang w:eastAsia="zh-CN"/>
        </w:rPr>
        <w:t>《公路交通安全设施设计技术规范》（JTG D81-20</w:t>
      </w:r>
      <w:r>
        <w:rPr>
          <w:rFonts w:hint="eastAsia"/>
          <w:lang w:val="en-US" w:eastAsia="zh-CN"/>
        </w:rPr>
        <w:t>17</w:t>
      </w:r>
      <w:r>
        <w:rPr>
          <w:rFonts w:hint="eastAsia"/>
          <w:lang w:eastAsia="zh-CN"/>
        </w:rPr>
        <w:t>）</w:t>
      </w:r>
    </w:p>
    <w:p>
      <w:pPr>
        <w:numPr>
          <w:ilvl w:val="0"/>
          <w:numId w:val="7"/>
        </w:numPr>
        <w:bidi w:val="0"/>
        <w:rPr>
          <w:rFonts w:hint="eastAsia"/>
          <w:lang w:val="en-US" w:eastAsia="zh-CN"/>
        </w:rPr>
      </w:pPr>
      <w:r>
        <w:rPr>
          <w:rFonts w:hint="eastAsia"/>
          <w:lang w:eastAsia="zh-CN"/>
        </w:rPr>
        <w:t>《公路桥梁伸缩装置》（JT/T 327-2004）</w:t>
      </w:r>
    </w:p>
    <w:p>
      <w:pPr>
        <w:numPr>
          <w:ilvl w:val="0"/>
          <w:numId w:val="7"/>
        </w:numPr>
        <w:bidi w:val="0"/>
        <w:rPr>
          <w:rFonts w:hint="eastAsia"/>
          <w:lang w:val="en-US" w:eastAsia="zh-CN"/>
        </w:rPr>
      </w:pPr>
      <w:r>
        <w:rPr>
          <w:rFonts w:hint="eastAsia"/>
          <w:lang w:eastAsia="zh-CN"/>
        </w:rPr>
        <w:t>《公路桥梁板式橡胶支座》（JT/T4-20</w:t>
      </w:r>
      <w:r>
        <w:rPr>
          <w:rFonts w:hint="eastAsia"/>
          <w:lang w:val="en-US" w:eastAsia="zh-CN"/>
        </w:rPr>
        <w:t>19</w:t>
      </w:r>
      <w:r>
        <w:rPr>
          <w:rFonts w:hint="eastAsia"/>
          <w:lang w:eastAsia="zh-CN"/>
        </w:rPr>
        <w:t>）</w:t>
      </w:r>
    </w:p>
    <w:p>
      <w:pPr>
        <w:numPr>
          <w:ilvl w:val="0"/>
          <w:numId w:val="7"/>
        </w:numPr>
        <w:bidi w:val="0"/>
        <w:rPr>
          <w:rFonts w:hint="eastAsia"/>
          <w:lang w:val="en-US" w:eastAsia="zh-CN"/>
        </w:rPr>
      </w:pPr>
      <w:r>
        <w:rPr>
          <w:rFonts w:hint="eastAsia"/>
          <w:lang w:eastAsia="zh-CN"/>
        </w:rPr>
        <w:t>《公路桥梁板式橡胶支座规格系列》（JT/T663-2006）</w:t>
      </w:r>
    </w:p>
    <w:p>
      <w:pPr>
        <w:numPr>
          <w:ilvl w:val="0"/>
          <w:numId w:val="7"/>
        </w:numPr>
        <w:bidi w:val="0"/>
        <w:rPr>
          <w:rFonts w:hint="eastAsia"/>
          <w:lang w:val="en-US" w:eastAsia="zh-CN"/>
        </w:rPr>
      </w:pPr>
      <w:r>
        <w:rPr>
          <w:rFonts w:hint="eastAsia"/>
          <w:lang w:eastAsia="zh-CN"/>
        </w:rPr>
        <w:t>《预应力混凝土用钢绞线》（GB/T 5224-2014）</w:t>
      </w:r>
    </w:p>
    <w:p>
      <w:pPr>
        <w:numPr>
          <w:ilvl w:val="0"/>
          <w:numId w:val="7"/>
        </w:numPr>
        <w:bidi w:val="0"/>
        <w:rPr>
          <w:rFonts w:hint="eastAsia"/>
          <w:lang w:val="en-US" w:eastAsia="zh-CN"/>
        </w:rPr>
      </w:pPr>
      <w:r>
        <w:rPr>
          <w:rFonts w:hint="eastAsia"/>
          <w:lang w:eastAsia="zh-CN"/>
        </w:rPr>
        <w:t>《混凝土外加剂应用技术规范》（GB 50119-20</w:t>
      </w:r>
      <w:r>
        <w:rPr>
          <w:rFonts w:hint="eastAsia"/>
          <w:lang w:val="en-US" w:eastAsia="zh-CN"/>
        </w:rPr>
        <w:t>1</w:t>
      </w:r>
      <w:r>
        <w:rPr>
          <w:rFonts w:hint="eastAsia"/>
          <w:lang w:eastAsia="zh-CN"/>
        </w:rPr>
        <w:t>3）</w:t>
      </w:r>
    </w:p>
    <w:p>
      <w:pPr>
        <w:numPr>
          <w:ilvl w:val="0"/>
          <w:numId w:val="7"/>
        </w:numPr>
        <w:bidi w:val="0"/>
        <w:rPr>
          <w:rFonts w:hint="eastAsia"/>
          <w:lang w:val="en-US" w:eastAsia="zh-CN"/>
        </w:rPr>
      </w:pPr>
      <w:r>
        <w:rPr>
          <w:rFonts w:hint="eastAsia"/>
          <w:lang w:eastAsia="zh-CN"/>
        </w:rPr>
        <w:t xml:space="preserve">《公路工程基本建设项目设计文件编制办法》（交公路发［2007］ 358 号） </w:t>
      </w:r>
    </w:p>
    <w:p>
      <w:pPr>
        <w:pStyle w:val="4"/>
        <w:bidi w:val="0"/>
        <w:rPr>
          <w:rFonts w:hint="default"/>
          <w:lang w:val="en-US" w:eastAsia="zh-CN"/>
        </w:rPr>
      </w:pPr>
      <w:r>
        <w:rPr>
          <w:rFonts w:hint="eastAsia"/>
          <w:lang w:val="en-US" w:eastAsia="zh-CN"/>
        </w:rPr>
        <w:t>技术指标</w:t>
      </w:r>
    </w:p>
    <w:p>
      <w:pPr>
        <w:numPr>
          <w:ilvl w:val="0"/>
          <w:numId w:val="8"/>
        </w:numPr>
        <w:bidi w:val="0"/>
        <w:rPr>
          <w:rFonts w:hint="default"/>
          <w:lang w:eastAsia="zh-CN"/>
        </w:rPr>
      </w:pPr>
      <w:r>
        <w:rPr>
          <w:rFonts w:hint="default"/>
          <w:lang w:eastAsia="zh-CN"/>
        </w:rPr>
        <w:t>设计速度：</w:t>
      </w:r>
      <w:r>
        <w:rPr>
          <w:rFonts w:hint="eastAsia"/>
          <w:color w:val="FF0000"/>
          <w:lang w:val="en-US" w:eastAsia="zh-CN"/>
        </w:rPr>
        <w:t>3</w:t>
      </w:r>
      <w:r>
        <w:rPr>
          <w:rFonts w:hint="default"/>
          <w:color w:val="FF0000"/>
          <w:lang w:eastAsia="zh-CN"/>
        </w:rPr>
        <w:t>0km/h</w:t>
      </w:r>
    </w:p>
    <w:p>
      <w:pPr>
        <w:numPr>
          <w:ilvl w:val="0"/>
          <w:numId w:val="8"/>
        </w:numPr>
        <w:bidi w:val="0"/>
        <w:rPr>
          <w:rFonts w:hint="default"/>
          <w:lang w:eastAsia="zh-CN"/>
        </w:rPr>
      </w:pPr>
      <w:r>
        <w:rPr>
          <w:rFonts w:hint="eastAsia"/>
          <w:lang w:eastAsia="zh-CN"/>
        </w:rPr>
        <w:t>桥梁设计荷载：城-A 级，人群荷载 4.0kPa</w:t>
      </w:r>
    </w:p>
    <w:p>
      <w:pPr>
        <w:numPr>
          <w:ilvl w:val="0"/>
          <w:numId w:val="8"/>
        </w:numPr>
        <w:bidi w:val="0"/>
        <w:rPr>
          <w:rFonts w:hint="default"/>
          <w:lang w:eastAsia="zh-CN"/>
        </w:rPr>
      </w:pPr>
      <w:r>
        <w:rPr>
          <w:rFonts w:hint="eastAsia"/>
          <w:lang w:eastAsia="zh-CN"/>
        </w:rPr>
        <w:t>桥面宽度：</w:t>
      </w:r>
      <w:r>
        <w:rPr>
          <w:rFonts w:hint="default"/>
          <w:lang w:eastAsia="zh-CN"/>
        </w:rPr>
        <w:t>4.0</w:t>
      </w:r>
      <w:r>
        <w:rPr>
          <w:rFonts w:hint="eastAsia"/>
          <w:lang w:eastAsia="zh-CN"/>
        </w:rPr>
        <w:t>(人行道)</w:t>
      </w:r>
      <w:r>
        <w:rPr>
          <w:rFonts w:hint="default"/>
          <w:lang w:eastAsia="zh-CN"/>
        </w:rPr>
        <w:t>+</w:t>
      </w:r>
      <w:r>
        <w:rPr>
          <w:rFonts w:hint="eastAsia"/>
          <w:lang w:eastAsia="zh-CN"/>
        </w:rPr>
        <w:t>0.</w:t>
      </w:r>
      <w:r>
        <w:rPr>
          <w:rFonts w:hint="eastAsia"/>
          <w:lang w:val="en-US" w:eastAsia="zh-CN"/>
        </w:rPr>
        <w:t>2</w:t>
      </w:r>
      <w:r>
        <w:rPr>
          <w:rFonts w:hint="eastAsia"/>
          <w:lang w:eastAsia="zh-CN"/>
        </w:rPr>
        <w:t>5(</w:t>
      </w:r>
      <w:r>
        <w:rPr>
          <w:rFonts w:hint="eastAsia"/>
          <w:lang w:val="en-US" w:eastAsia="zh-CN"/>
        </w:rPr>
        <w:t>路缘带</w:t>
      </w:r>
      <w:r>
        <w:rPr>
          <w:rFonts w:hint="eastAsia"/>
          <w:lang w:eastAsia="zh-CN"/>
        </w:rPr>
        <w:t>)+</w:t>
      </w:r>
      <w:r>
        <w:rPr>
          <w:rFonts w:hint="default"/>
          <w:lang w:eastAsia="zh-CN"/>
        </w:rPr>
        <w:t>7</w:t>
      </w:r>
      <w:r>
        <w:rPr>
          <w:rFonts w:hint="eastAsia"/>
          <w:lang w:eastAsia="zh-CN"/>
        </w:rPr>
        <w:t>.</w:t>
      </w:r>
      <w:r>
        <w:rPr>
          <w:rFonts w:hint="eastAsia"/>
          <w:lang w:val="en-US" w:eastAsia="zh-CN"/>
        </w:rPr>
        <w:t>0</w:t>
      </w:r>
      <w:r>
        <w:rPr>
          <w:rFonts w:hint="eastAsia"/>
          <w:lang w:eastAsia="zh-CN"/>
        </w:rPr>
        <w:t>(行车道)</w:t>
      </w:r>
      <w:r>
        <w:rPr>
          <w:rFonts w:hint="eastAsia"/>
          <w:lang w:val="en-US" w:eastAsia="zh-CN"/>
        </w:rPr>
        <w:t>+0.25</w:t>
      </w:r>
      <w:r>
        <w:rPr>
          <w:rFonts w:hint="eastAsia"/>
          <w:lang w:eastAsia="zh-CN"/>
        </w:rPr>
        <w:t>(</w:t>
      </w:r>
      <w:r>
        <w:rPr>
          <w:rFonts w:hint="eastAsia"/>
          <w:lang w:val="en-US" w:eastAsia="zh-CN"/>
        </w:rPr>
        <w:t>路缘带</w:t>
      </w:r>
      <w:r>
        <w:rPr>
          <w:rFonts w:hint="eastAsia"/>
          <w:lang w:eastAsia="zh-CN"/>
        </w:rPr>
        <w:t>)+0.5(防撞栏)=1</w:t>
      </w:r>
      <w:r>
        <w:rPr>
          <w:rFonts w:hint="default"/>
          <w:lang w:eastAsia="zh-CN"/>
        </w:rPr>
        <w:t>2</w:t>
      </w:r>
      <w:r>
        <w:rPr>
          <w:rFonts w:hint="eastAsia"/>
          <w:lang w:eastAsia="zh-CN"/>
        </w:rPr>
        <w:t xml:space="preserve">.5m </w:t>
      </w:r>
    </w:p>
    <w:p>
      <w:pPr>
        <w:numPr>
          <w:ilvl w:val="0"/>
          <w:numId w:val="8"/>
        </w:numPr>
        <w:bidi w:val="0"/>
        <w:rPr>
          <w:rFonts w:hint="default"/>
          <w:lang w:eastAsia="zh-CN"/>
        </w:rPr>
      </w:pPr>
      <w:r>
        <w:rPr>
          <w:rFonts w:hint="eastAsia"/>
          <w:lang w:eastAsia="zh-CN"/>
        </w:rPr>
        <w:t xml:space="preserve">设计洪水频率： </w:t>
      </w:r>
      <w:r>
        <w:rPr>
          <w:rFonts w:hint="eastAsia"/>
          <w:lang w:val="en-US" w:eastAsia="zh-CN"/>
        </w:rPr>
        <w:t>暂定</w:t>
      </w:r>
      <w:r>
        <w:rPr>
          <w:rFonts w:hint="eastAsia"/>
          <w:lang w:eastAsia="zh-CN"/>
        </w:rPr>
        <w:t xml:space="preserve"> 1/</w:t>
      </w:r>
      <w:r>
        <w:rPr>
          <w:rFonts w:hint="eastAsia"/>
          <w:lang w:val="en-US" w:eastAsia="zh-CN"/>
        </w:rPr>
        <w:t>20</w:t>
      </w:r>
      <w:r>
        <w:rPr>
          <w:rFonts w:hint="eastAsia"/>
          <w:lang w:eastAsia="zh-CN"/>
        </w:rPr>
        <w:t xml:space="preserve"> </w:t>
      </w:r>
      <w:r>
        <w:rPr>
          <w:rFonts w:hint="eastAsia"/>
          <w:lang w:val="en-US" w:eastAsia="zh-CN"/>
        </w:rPr>
        <w:t>（待防洪评价单位确定）</w:t>
      </w:r>
    </w:p>
    <w:p>
      <w:pPr>
        <w:numPr>
          <w:ilvl w:val="0"/>
          <w:numId w:val="8"/>
        </w:numPr>
        <w:bidi w:val="0"/>
        <w:rPr>
          <w:rFonts w:hint="default"/>
          <w:lang w:eastAsia="zh-CN"/>
        </w:rPr>
      </w:pPr>
      <w:r>
        <w:rPr>
          <w:rFonts w:hint="eastAsia"/>
          <w:lang w:val="en-US" w:eastAsia="zh-CN"/>
        </w:rPr>
        <w:t>设计洪水位：暂定6.65m（待水务确定）</w:t>
      </w:r>
    </w:p>
    <w:p>
      <w:pPr>
        <w:numPr>
          <w:ilvl w:val="0"/>
          <w:numId w:val="8"/>
        </w:numPr>
        <w:bidi w:val="0"/>
        <w:rPr>
          <w:rFonts w:hint="default"/>
          <w:lang w:eastAsia="zh-CN"/>
        </w:rPr>
      </w:pPr>
      <w:r>
        <w:rPr>
          <w:rFonts w:hint="eastAsia"/>
          <w:lang w:val="en-US" w:eastAsia="zh-CN"/>
        </w:rPr>
        <w:t>地震动峰值加速度：0.10g</w:t>
      </w:r>
    </w:p>
    <w:p>
      <w:pPr>
        <w:numPr>
          <w:ilvl w:val="0"/>
          <w:numId w:val="8"/>
        </w:numPr>
        <w:bidi w:val="0"/>
        <w:rPr>
          <w:rFonts w:hint="default"/>
          <w:lang w:eastAsia="zh-CN"/>
        </w:rPr>
      </w:pPr>
      <w:r>
        <w:rPr>
          <w:rFonts w:hint="eastAsia"/>
          <w:lang w:val="en-US" w:eastAsia="zh-CN"/>
        </w:rPr>
        <w:t>抗震烈度：7度</w:t>
      </w:r>
    </w:p>
    <w:p>
      <w:pPr>
        <w:numPr>
          <w:ilvl w:val="0"/>
          <w:numId w:val="8"/>
        </w:numPr>
        <w:bidi w:val="0"/>
        <w:rPr>
          <w:rFonts w:hint="default"/>
          <w:lang w:eastAsia="zh-CN"/>
        </w:rPr>
      </w:pPr>
      <w:r>
        <w:rPr>
          <w:rFonts w:hint="eastAsia"/>
          <w:lang w:val="en-US" w:eastAsia="zh-CN"/>
        </w:rPr>
        <w:t>场地类型：Ⅱ型</w:t>
      </w:r>
    </w:p>
    <w:p>
      <w:pPr>
        <w:numPr>
          <w:ilvl w:val="0"/>
          <w:numId w:val="8"/>
        </w:numPr>
        <w:bidi w:val="0"/>
        <w:rPr>
          <w:rFonts w:hint="default"/>
          <w:lang w:eastAsia="zh-CN"/>
        </w:rPr>
      </w:pPr>
      <w:r>
        <w:rPr>
          <w:rFonts w:hint="eastAsia"/>
          <w:lang w:val="en-US" w:eastAsia="zh-CN"/>
        </w:rPr>
        <w:t xml:space="preserve">环境类别：上部结构Ⅰ类, 下部结构 Ⅱ 类 </w:t>
      </w:r>
    </w:p>
    <w:p>
      <w:pPr>
        <w:numPr>
          <w:ilvl w:val="0"/>
          <w:numId w:val="8"/>
        </w:numPr>
        <w:bidi w:val="0"/>
        <w:rPr>
          <w:rFonts w:hint="default"/>
          <w:lang w:eastAsia="zh-CN"/>
        </w:rPr>
      </w:pPr>
      <w:r>
        <w:rPr>
          <w:rFonts w:hint="eastAsia"/>
          <w:lang w:val="en-US" w:eastAsia="zh-CN"/>
        </w:rPr>
        <w:t>通航要求：无通航要求</w:t>
      </w:r>
    </w:p>
    <w:p>
      <w:pPr>
        <w:numPr>
          <w:ilvl w:val="0"/>
          <w:numId w:val="8"/>
        </w:numPr>
        <w:bidi w:val="0"/>
        <w:rPr>
          <w:rFonts w:hint="default"/>
          <w:lang w:eastAsia="zh-CN"/>
        </w:rPr>
      </w:pPr>
      <w:r>
        <w:rPr>
          <w:rFonts w:hint="eastAsia"/>
          <w:lang w:val="en-US" w:eastAsia="zh-CN"/>
        </w:rPr>
        <w:t>设计使用年限：100年</w:t>
      </w:r>
    </w:p>
    <w:p>
      <w:pPr>
        <w:numPr>
          <w:ilvl w:val="0"/>
          <w:numId w:val="8"/>
        </w:numPr>
        <w:bidi w:val="0"/>
        <w:rPr>
          <w:rFonts w:hint="default"/>
          <w:lang w:eastAsia="zh-CN"/>
        </w:rPr>
      </w:pPr>
      <w:r>
        <w:rPr>
          <w:rFonts w:hint="eastAsia"/>
          <w:lang w:val="en-US" w:eastAsia="zh-CN"/>
        </w:rPr>
        <w:t>结构安全设计等级：一级</w:t>
      </w:r>
    </w:p>
    <w:p>
      <w:pPr>
        <w:numPr>
          <w:ilvl w:val="0"/>
          <w:numId w:val="8"/>
        </w:numPr>
        <w:bidi w:val="0"/>
        <w:rPr>
          <w:rFonts w:hint="default"/>
          <w:lang w:eastAsia="zh-CN"/>
        </w:rPr>
      </w:pPr>
      <w:r>
        <w:rPr>
          <w:rFonts w:hint="eastAsia"/>
          <w:lang w:val="en-US" w:eastAsia="zh-CN"/>
        </w:rPr>
        <w:t>环境作用等级：Ⅰ-B级、Ⅰ-C级</w:t>
      </w:r>
    </w:p>
    <w:p>
      <w:pPr>
        <w:pStyle w:val="3"/>
        <w:bidi w:val="0"/>
        <w:rPr>
          <w:rFonts w:hint="default"/>
          <w:lang w:val="en-US" w:eastAsia="zh-CN"/>
        </w:rPr>
      </w:pPr>
      <w:r>
        <w:rPr>
          <w:rFonts w:hint="eastAsia"/>
          <w:lang w:val="en-US" w:eastAsia="zh-CN"/>
        </w:rPr>
        <w:t>桥梁设计要点</w:t>
      </w:r>
    </w:p>
    <w:p>
      <w:pPr>
        <w:pStyle w:val="4"/>
        <w:numPr>
          <w:ilvl w:val="0"/>
          <w:numId w:val="9"/>
        </w:numPr>
        <w:bidi w:val="0"/>
        <w:rPr>
          <w:rFonts w:hint="default"/>
          <w:lang w:val="en-US" w:eastAsia="zh-CN"/>
        </w:rPr>
      </w:pPr>
      <w:r>
        <w:rPr>
          <w:rFonts w:hint="eastAsia"/>
          <w:lang w:val="en-US" w:eastAsia="zh-CN"/>
        </w:rPr>
        <w:t>桥型布置</w:t>
      </w:r>
    </w:p>
    <w:p>
      <w:pPr>
        <w:keepNext w:val="0"/>
        <w:keepLines w:val="0"/>
        <w:pageBreakBefore w:val="0"/>
        <w:widowControl w:val="0"/>
        <w:kinsoku/>
        <w:wordWrap/>
        <w:overflowPunct/>
        <w:topLinePunct w:val="0"/>
        <w:autoSpaceDE/>
        <w:autoSpaceDN/>
        <w:bidi w:val="0"/>
        <w:adjustRightInd/>
        <w:snapToGrid/>
        <w:textAlignment w:val="auto"/>
        <w:rPr>
          <w:rFonts w:hint="eastAsia"/>
          <w:lang w:eastAsia="zh-CN"/>
        </w:rPr>
      </w:pPr>
      <w:r>
        <w:rPr>
          <w:rFonts w:hint="eastAsia"/>
          <w:lang w:eastAsia="zh-CN"/>
        </w:rPr>
        <w:t>本桥位于</w:t>
      </w:r>
      <w:r>
        <w:rPr>
          <w:rFonts w:hint="eastAsia"/>
          <w:lang w:val="en-US" w:eastAsia="zh-CN"/>
        </w:rPr>
        <w:t>海珠区叠景路敦和涌</w:t>
      </w:r>
      <w:r>
        <w:rPr>
          <w:rFonts w:hint="eastAsia"/>
          <w:lang w:eastAsia="zh-CN"/>
        </w:rPr>
        <w:t>。桥台采用</w:t>
      </w:r>
      <w:r>
        <w:rPr>
          <w:rFonts w:hint="eastAsia"/>
          <w:lang w:val="en-US" w:eastAsia="zh-CN"/>
        </w:rPr>
        <w:t>柱</w:t>
      </w:r>
      <w:r>
        <w:rPr>
          <w:rFonts w:hint="eastAsia"/>
          <w:lang w:eastAsia="zh-CN"/>
        </w:rPr>
        <w:t>式台、桩基础；桥台处设置 D</w:t>
      </w:r>
      <w:r>
        <w:rPr>
          <w:rFonts w:hint="eastAsia"/>
          <w:lang w:val="en-US" w:eastAsia="zh-CN"/>
        </w:rPr>
        <w:t>8</w:t>
      </w:r>
      <w:r>
        <w:rPr>
          <w:rFonts w:hint="eastAsia"/>
          <w:lang w:eastAsia="zh-CN"/>
        </w:rPr>
        <w:t>0 伸缩缝。桥跨布置为</w:t>
      </w:r>
      <w:r>
        <w:rPr>
          <w:rFonts w:hint="eastAsia"/>
          <w:lang w:val="en-US" w:eastAsia="zh-CN"/>
        </w:rPr>
        <w:t>1</w:t>
      </w:r>
      <w:r>
        <w:rPr>
          <w:rFonts w:hint="eastAsia"/>
          <w:lang w:eastAsia="zh-CN"/>
        </w:rPr>
        <w:t xml:space="preserve">× </w:t>
      </w:r>
      <w:r>
        <w:rPr>
          <w:rFonts w:hint="eastAsia"/>
          <w:lang w:val="en-US" w:eastAsia="zh-CN"/>
        </w:rPr>
        <w:t>16</w:t>
      </w:r>
      <w:r>
        <w:rPr>
          <w:rFonts w:hint="eastAsia"/>
          <w:lang w:eastAsia="zh-CN"/>
        </w:rPr>
        <w:t>m，桥梁全长</w:t>
      </w:r>
      <w:r>
        <w:rPr>
          <w:rFonts w:hint="eastAsia"/>
          <w:lang w:val="en-US" w:eastAsia="zh-CN"/>
        </w:rPr>
        <w:t>17.6</w:t>
      </w:r>
      <w:r>
        <w:rPr>
          <w:rFonts w:hint="eastAsia"/>
          <w:lang w:eastAsia="zh-CN"/>
        </w:rPr>
        <w:t>m（含</w:t>
      </w:r>
      <w:r>
        <w:rPr>
          <w:rFonts w:hint="eastAsia"/>
          <w:lang w:val="en-US" w:eastAsia="zh-CN"/>
        </w:rPr>
        <w:t>背墙</w:t>
      </w:r>
      <w:r>
        <w:rPr>
          <w:rFonts w:hint="eastAsia"/>
          <w:lang w:eastAsia="zh-CN"/>
        </w:rPr>
        <w:t>）。桥梁平面位于直线上。</w:t>
      </w:r>
    </w:p>
    <w:p>
      <w:pPr>
        <w:keepNext w:val="0"/>
        <w:keepLines w:val="0"/>
        <w:pageBreakBefore w:val="0"/>
        <w:widowControl w:val="0"/>
        <w:kinsoku/>
        <w:wordWrap/>
        <w:overflowPunct/>
        <w:topLinePunct w:val="0"/>
        <w:autoSpaceDE/>
        <w:autoSpaceDN/>
        <w:bidi w:val="0"/>
        <w:adjustRightInd/>
        <w:snapToGrid/>
        <w:textAlignment w:val="auto"/>
        <w:rPr>
          <w:rFonts w:hint="eastAsia"/>
          <w:lang w:eastAsia="zh-CN"/>
        </w:rPr>
      </w:pPr>
      <w:r>
        <w:rPr>
          <w:rFonts w:hint="eastAsia"/>
          <w:lang w:eastAsia="zh-CN"/>
        </w:rPr>
        <w:t xml:space="preserve">桥梁交角为 </w:t>
      </w:r>
      <w:r>
        <w:rPr>
          <w:rFonts w:hint="eastAsia"/>
          <w:lang w:val="en-US" w:eastAsia="zh-CN"/>
        </w:rPr>
        <w:t>90</w:t>
      </w:r>
      <w:r>
        <w:rPr>
          <w:rFonts w:hint="eastAsia"/>
          <w:lang w:eastAsia="zh-CN"/>
        </w:rPr>
        <w:t xml:space="preserve"> 度，桥台背墙前侧线与道路设计线的</w:t>
      </w:r>
      <w:r>
        <w:rPr>
          <w:rFonts w:hint="eastAsia"/>
          <w:lang w:val="en-US" w:eastAsia="zh-CN"/>
        </w:rPr>
        <w:t>左</w:t>
      </w:r>
      <w:r>
        <w:rPr>
          <w:rFonts w:hint="eastAsia"/>
          <w:lang w:eastAsia="zh-CN"/>
        </w:rPr>
        <w:t>偏角为</w:t>
      </w:r>
      <w:r>
        <w:rPr>
          <w:rFonts w:hint="eastAsia"/>
          <w:lang w:val="en-US" w:eastAsia="zh-CN"/>
        </w:rPr>
        <w:t>90</w:t>
      </w:r>
      <w:r>
        <w:rPr>
          <w:rFonts w:hint="eastAsia"/>
          <w:lang w:eastAsia="zh-CN"/>
        </w:rPr>
        <w:t xml:space="preserve">度，桥台背墙线与梁端平行。 </w:t>
      </w:r>
    </w:p>
    <w:p>
      <w:pPr>
        <w:pStyle w:val="4"/>
        <w:bidi w:val="0"/>
        <w:rPr>
          <w:rFonts w:hint="default"/>
          <w:lang w:val="en-US" w:eastAsia="zh-CN"/>
        </w:rPr>
      </w:pPr>
      <w:r>
        <w:rPr>
          <w:rFonts w:hint="eastAsia"/>
          <w:lang w:val="en-US" w:eastAsia="zh-CN"/>
        </w:rPr>
        <w:t>上部结构</w:t>
      </w:r>
    </w:p>
    <w:p>
      <w:pPr>
        <w:numPr>
          <w:ilvl w:val="0"/>
          <w:numId w:val="10"/>
        </w:numPr>
        <w:bidi w:val="0"/>
        <w:rPr>
          <w:rFonts w:hint="eastAsia"/>
          <w:lang w:val="en-US" w:eastAsia="zh-CN"/>
        </w:rPr>
      </w:pPr>
      <w:r>
        <w:rPr>
          <w:rFonts w:hint="eastAsia"/>
        </w:rPr>
        <w:t>本桥上部</w:t>
      </w:r>
      <w:r>
        <w:rPr>
          <w:rFonts w:hint="eastAsia"/>
          <w:lang w:val="en-US" w:eastAsia="zh-CN"/>
        </w:rPr>
        <w:t>空心板</w:t>
      </w:r>
      <w:r>
        <w:rPr>
          <w:rFonts w:hint="eastAsia"/>
        </w:rPr>
        <w:t>结构体系为简支结构，按部分预应力 A 类构件设计。</w:t>
      </w:r>
      <w:r>
        <w:rPr>
          <w:rFonts w:hint="eastAsia"/>
          <w:lang w:val="en-US" w:eastAsia="zh-CN"/>
        </w:rPr>
        <w:t>结结构设计采用不同的软件进行分析，荷载横向分配系数按铰接板、刚接板法两种计算方法进行对比分析，取大值控制设计。150mm桥面C50混凝土整体化现浇层中计入75mm参与结构受力。</w:t>
      </w:r>
    </w:p>
    <w:p>
      <w:pPr>
        <w:numPr>
          <w:ilvl w:val="0"/>
          <w:numId w:val="10"/>
        </w:numPr>
        <w:bidi w:val="0"/>
        <w:rPr>
          <w:rFonts w:hint="eastAsia" w:eastAsia="宋体"/>
          <w:lang w:eastAsia="zh-CN"/>
        </w:rPr>
      </w:pPr>
      <w:r>
        <w:rPr>
          <w:rFonts w:hint="eastAsia"/>
          <w:lang w:val="en-US" w:eastAsia="zh-CN"/>
        </w:rPr>
        <w:t>桥面铺装采用 100mm 沥青混凝土＋防水层＋150</w:t>
      </w:r>
      <w:r>
        <w:rPr>
          <w:rFonts w:hint="eastAsia"/>
        </w:rPr>
        <w:t>～</w:t>
      </w:r>
      <w:r>
        <w:rPr>
          <w:rFonts w:hint="eastAsia"/>
          <w:lang w:val="en-US" w:eastAsia="zh-CN"/>
        </w:rPr>
        <w:t>480mm C40 混凝土桥面现浇层。</w:t>
      </w:r>
    </w:p>
    <w:p>
      <w:pPr>
        <w:bidi w:val="0"/>
        <w:rPr>
          <w:rFonts w:hint="eastAsia"/>
        </w:rPr>
      </w:pPr>
      <w:r>
        <w:rPr>
          <w:rFonts w:hint="eastAsia"/>
          <w:lang w:val="en-US" w:eastAsia="zh-CN"/>
        </w:rPr>
        <w:t>3.</w:t>
      </w:r>
      <w:r>
        <w:rPr>
          <w:rFonts w:hint="eastAsia"/>
        </w:rPr>
        <w:t>本桥位于直线上，上部结构采用直梁预制方式。</w:t>
      </w:r>
    </w:p>
    <w:p>
      <w:pPr>
        <w:bidi w:val="0"/>
        <w:rPr>
          <w:rFonts w:hint="eastAsia"/>
        </w:rPr>
      </w:pPr>
      <w:r>
        <w:rPr>
          <w:rFonts w:hint="eastAsia"/>
          <w:lang w:val="en-US" w:eastAsia="zh-CN"/>
        </w:rPr>
        <w:t>4.</w:t>
      </w:r>
      <w:r>
        <w:rPr>
          <w:rFonts w:hint="eastAsia"/>
        </w:rPr>
        <w:t>桥面横坡由</w:t>
      </w:r>
      <w:r>
        <w:rPr>
          <w:rFonts w:hint="eastAsia"/>
          <w:lang w:val="en-US" w:eastAsia="zh-CN"/>
        </w:rPr>
        <w:t>桥台预制和沥青现浇形成</w:t>
      </w:r>
      <w:r>
        <w:rPr>
          <w:rFonts w:hint="eastAsia"/>
        </w:rPr>
        <w:t>。</w:t>
      </w:r>
    </w:p>
    <w:p>
      <w:pPr>
        <w:bidi w:val="0"/>
        <w:rPr>
          <w:rFonts w:hint="eastAsia"/>
        </w:rPr>
      </w:pPr>
      <w:r>
        <w:rPr>
          <w:rFonts w:hint="eastAsia"/>
          <w:lang w:val="en-US" w:eastAsia="zh-CN"/>
        </w:rPr>
        <w:t>4.</w:t>
      </w:r>
      <w:r>
        <w:rPr>
          <w:rFonts w:hint="eastAsia"/>
        </w:rPr>
        <w:t>为了增加主梁施工安装稳定性，避免支座受恒载作用产生剪切变形，应使支座保持水平，在梁底设置楔形块进行调平。</w:t>
      </w:r>
    </w:p>
    <w:p>
      <w:pPr>
        <w:bidi w:val="0"/>
        <w:rPr>
          <w:rFonts w:hint="eastAsia" w:eastAsia="宋体"/>
          <w:lang w:val="en-US" w:eastAsia="zh-CN"/>
        </w:rPr>
      </w:pPr>
      <w:r>
        <w:rPr>
          <w:rFonts w:hint="eastAsia"/>
          <w:lang w:val="en-US" w:eastAsia="zh-CN"/>
        </w:rPr>
        <w:t>6.</w:t>
      </w:r>
      <w:r>
        <w:rPr>
          <w:rFonts w:hint="eastAsia"/>
        </w:rPr>
        <w:t xml:space="preserve">伸缩缝按 </w:t>
      </w:r>
      <w:r>
        <w:rPr>
          <w:rFonts w:hint="eastAsia"/>
          <w:lang w:val="en-US" w:eastAsia="zh-CN"/>
        </w:rPr>
        <w:t>D80</w:t>
      </w:r>
      <w:r>
        <w:rPr>
          <w:rFonts w:hint="eastAsia"/>
        </w:rPr>
        <w:t>型伸缩缝进行设置，空心板预制时须结合相应桥型图、伸缩缝构造图设置伸缩缝预埋钢筋，并最终结合厂家定型产品的尺寸要求进行调整</w:t>
      </w:r>
      <w:r>
        <w:rPr>
          <w:rFonts w:hint="eastAsia"/>
          <w:lang w:eastAsia="zh-CN"/>
        </w:rPr>
        <w:t>。</w:t>
      </w:r>
    </w:p>
    <w:p>
      <w:pPr>
        <w:bidi w:val="0"/>
        <w:rPr>
          <w:rFonts w:hint="eastAsia"/>
        </w:rPr>
      </w:pPr>
      <w:r>
        <w:rPr>
          <w:rFonts w:hint="eastAsia"/>
          <w:lang w:val="en-US" w:eastAsia="zh-CN"/>
        </w:rPr>
        <w:t>7.</w:t>
      </w:r>
      <w:r>
        <w:rPr>
          <w:rFonts w:hint="eastAsia"/>
        </w:rPr>
        <w:t>桥台搭板长度均取 6m，搭板厚度均为 3</w:t>
      </w:r>
      <w:r>
        <w:rPr>
          <w:rFonts w:hint="eastAsia"/>
          <w:lang w:val="en-US" w:eastAsia="zh-CN"/>
        </w:rPr>
        <w:t>6</w:t>
      </w:r>
      <w:r>
        <w:rPr>
          <w:rFonts w:hint="eastAsia"/>
        </w:rPr>
        <w:t>0mm。</w:t>
      </w:r>
    </w:p>
    <w:p>
      <w:pPr>
        <w:pStyle w:val="4"/>
        <w:bidi w:val="0"/>
        <w:rPr>
          <w:rFonts w:hint="eastAsia"/>
        </w:rPr>
      </w:pPr>
      <w:r>
        <w:rPr>
          <w:rFonts w:hint="eastAsia"/>
        </w:rPr>
        <w:t>下部结构</w:t>
      </w:r>
    </w:p>
    <w:p>
      <w:pPr>
        <w:bidi w:val="0"/>
        <w:rPr>
          <w:rFonts w:hint="eastAsia"/>
        </w:rPr>
      </w:pPr>
      <w:r>
        <w:rPr>
          <w:rFonts w:hint="eastAsia"/>
          <w:lang w:val="en-US" w:eastAsia="zh-CN"/>
        </w:rPr>
        <w:t>1.</w:t>
      </w:r>
      <w:r>
        <w:rPr>
          <w:rFonts w:hint="eastAsia"/>
        </w:rPr>
        <w:t>土压力计算：台后填土和汽车土压力及台前溜坡土压力按库仑主动土压力计算，台后汽车的作用按等代土层法进行计算。</w:t>
      </w:r>
    </w:p>
    <w:p>
      <w:pPr>
        <w:bidi w:val="0"/>
        <w:rPr>
          <w:rFonts w:hint="eastAsia"/>
        </w:rPr>
      </w:pPr>
      <w:r>
        <w:rPr>
          <w:rFonts w:hint="eastAsia"/>
          <w:lang w:val="en-US" w:eastAsia="zh-CN"/>
        </w:rPr>
        <w:t>2</w:t>
      </w:r>
      <w:r>
        <w:rPr>
          <w:rFonts w:hint="eastAsia"/>
        </w:rPr>
        <w:t>全桥汽车制动力、温度力等在桥梁下部结构计算时按照集成刚度法进行水平力分配。</w:t>
      </w:r>
    </w:p>
    <w:p>
      <w:pPr>
        <w:bidi w:val="0"/>
        <w:rPr>
          <w:rFonts w:hint="eastAsia"/>
        </w:rPr>
      </w:pPr>
      <w:r>
        <w:rPr>
          <w:rFonts w:hint="eastAsia"/>
          <w:lang w:val="en-US" w:eastAsia="zh-CN"/>
        </w:rPr>
        <w:t>3.</w:t>
      </w:r>
      <w:r>
        <w:rPr>
          <w:rFonts w:hint="eastAsia"/>
        </w:rPr>
        <w:t>地震力计算采用反应谱计算方法，E1地震时结构处于弹性状态，E2地震时结构可局部进入塑性状态。</w:t>
      </w:r>
    </w:p>
    <w:p>
      <w:pPr>
        <w:bidi w:val="0"/>
        <w:rPr>
          <w:rFonts w:hint="eastAsia"/>
          <w:lang w:val="en-US" w:eastAsia="zh-CN"/>
        </w:rPr>
      </w:pPr>
      <w:r>
        <w:rPr>
          <w:rFonts w:hint="eastAsia"/>
          <w:lang w:val="en-US" w:eastAsia="zh-CN"/>
        </w:rPr>
        <w:t>4.</w:t>
      </w:r>
      <w:r>
        <w:rPr>
          <w:rFonts w:hint="eastAsia"/>
        </w:rPr>
        <w:t>桩桩基按嵌岩桩设计，根据控制断面内力按照承载能力极限状态进行配筋设计并按照正常使用极限状态控制结构裂缝宽度。</w:t>
      </w:r>
      <w:r>
        <w:t xml:space="preserve"> </w:t>
      </w:r>
    </w:p>
    <w:p>
      <w:pPr>
        <w:bidi w:val="0"/>
      </w:pPr>
      <w:r>
        <w:rPr>
          <w:rFonts w:hint="eastAsia"/>
          <w:lang w:val="en-US" w:eastAsia="zh-CN"/>
        </w:rPr>
        <w:t>5.</w:t>
      </w:r>
      <w:r>
        <w:rPr>
          <w:rFonts w:hint="eastAsia"/>
        </w:rPr>
        <w:t>桥台台后填土内摩擦角按 30°计算。</w:t>
      </w:r>
      <w:r>
        <w:t xml:space="preserve"> </w:t>
      </w:r>
    </w:p>
    <w:p>
      <w:pPr>
        <w:pStyle w:val="3"/>
        <w:bidi w:val="0"/>
        <w:rPr>
          <w:rFonts w:hint="eastAsia"/>
          <w:lang w:val="en-US" w:eastAsia="zh-CN"/>
        </w:rPr>
      </w:pPr>
      <w:r>
        <w:rPr>
          <w:rFonts w:hint="eastAsia"/>
          <w:lang w:val="en-US" w:eastAsia="zh-CN"/>
        </w:rPr>
        <w:t>主要材料</w:t>
      </w:r>
    </w:p>
    <w:p>
      <w:pPr>
        <w:pStyle w:val="4"/>
        <w:numPr>
          <w:ilvl w:val="0"/>
          <w:numId w:val="11"/>
        </w:numPr>
        <w:bidi w:val="0"/>
        <w:rPr>
          <w:rFonts w:hint="default"/>
          <w:lang w:val="en-US" w:eastAsia="zh-CN"/>
        </w:rPr>
      </w:pPr>
      <w:r>
        <w:rPr>
          <w:rFonts w:hint="eastAsia"/>
          <w:lang w:val="en-US" w:eastAsia="zh-CN"/>
        </w:rPr>
        <w:t>混凝土</w:t>
      </w:r>
    </w:p>
    <w:p>
      <w:pPr>
        <w:pStyle w:val="5"/>
        <w:numPr>
          <w:ilvl w:val="0"/>
          <w:numId w:val="12"/>
        </w:numPr>
        <w:bidi w:val="0"/>
        <w:rPr>
          <w:rFonts w:hint="default"/>
          <w:lang w:val="en-US" w:eastAsia="zh-CN"/>
        </w:rPr>
      </w:pPr>
      <w:r>
        <w:rPr>
          <w:rFonts w:hint="eastAsia"/>
          <w:lang w:val="en-US" w:eastAsia="zh-CN"/>
        </w:rPr>
        <w:t>材料基本要求</w:t>
      </w:r>
    </w:p>
    <w:p>
      <w:pPr>
        <w:bidi w:val="0"/>
        <w:rPr>
          <w:rFonts w:hint="eastAsia"/>
        </w:rPr>
      </w:pPr>
      <w:r>
        <w:rPr>
          <w:rFonts w:hint="eastAsia"/>
        </w:rPr>
        <w:t>1）水泥：水泥应采用品质稳定的普通硅酸盐水泥或硅酸盐水泥，碱含量不宜大于0.60%，熟料中</w:t>
      </w:r>
      <w:r>
        <w:t>C3A</w:t>
      </w:r>
      <w:r>
        <w:rPr>
          <w:rFonts w:hint="eastAsia"/>
        </w:rPr>
        <w:t>含量不应大于</w:t>
      </w:r>
      <w:r>
        <w:t>8</w:t>
      </w:r>
      <w:r>
        <w:rPr>
          <w:rFonts w:hint="eastAsia"/>
        </w:rPr>
        <w:t>.0%。其余技术要求尚应符合</w:t>
      </w:r>
      <w:r>
        <w:t>GB 175</w:t>
      </w:r>
      <w:r>
        <w:rPr>
          <w:rFonts w:hint="eastAsia"/>
        </w:rPr>
        <w:t>-2007的规定，不应使用其它品种水泥。</w:t>
      </w:r>
    </w:p>
    <w:p>
      <w:pPr>
        <w:bidi w:val="0"/>
        <w:rPr>
          <w:rFonts w:hint="eastAsia"/>
        </w:rPr>
      </w:pPr>
      <w:r>
        <w:rPr>
          <w:rFonts w:hint="eastAsia"/>
        </w:rPr>
        <w:t>2）细骨料：细骨料应采用硬质洁净的天然中粗河砂，也可使用经专门机组生产、并经试验确认的机制砂，其细度模数宜为</w:t>
      </w:r>
      <w:r>
        <w:t>2.6</w:t>
      </w:r>
      <w:r>
        <w:rPr>
          <w:rFonts w:hint="eastAsia"/>
        </w:rPr>
        <w:t>～</w:t>
      </w:r>
      <w:r>
        <w:t>3.2</w:t>
      </w:r>
      <w:r>
        <w:rPr>
          <w:rFonts w:hint="eastAsia"/>
        </w:rPr>
        <w:t>，含泥量不应大于</w:t>
      </w:r>
      <w:r>
        <w:t>2.0%</w:t>
      </w:r>
      <w:r>
        <w:rPr>
          <w:rFonts w:hint="eastAsia"/>
        </w:rPr>
        <w:t>，泥块含量不应大于0.5%(高性能混凝土)，其余技术要求应符合JTG</w:t>
      </w:r>
      <w:r>
        <w:t xml:space="preserve"> </w:t>
      </w:r>
      <w:r>
        <w:rPr>
          <w:rFonts w:hint="eastAsia"/>
        </w:rPr>
        <w:t>E42-2005的规定。</w:t>
      </w:r>
    </w:p>
    <w:p>
      <w:pPr>
        <w:bidi w:val="0"/>
        <w:rPr>
          <w:rFonts w:hint="eastAsia"/>
        </w:rPr>
      </w:pPr>
      <w:r>
        <w:rPr>
          <w:rFonts w:hint="eastAsia"/>
        </w:rPr>
        <w:t>3）粗骨料：粗骨料应采用坚硬耐久的碎石或卵石，空隙率宜小于40%，压碎指标宜小于20</w:t>
      </w:r>
      <w:r>
        <w:t>%</w:t>
      </w:r>
      <w:r>
        <w:rPr>
          <w:rFonts w:hint="eastAsia"/>
        </w:rPr>
        <w:t>，粗骨料母岩的抗压强度与混凝土设计强度之比应不小于1.5，含泥量不应大于1.0</w:t>
      </w:r>
      <w:r>
        <w:t>%</w:t>
      </w:r>
      <w:r>
        <w:rPr>
          <w:rFonts w:hint="eastAsia"/>
        </w:rPr>
        <w:t>，泥块含量不应大于0.5%，针片状含量宜小于10</w:t>
      </w:r>
      <w:r>
        <w:t>%</w:t>
      </w:r>
      <w:r>
        <w:rPr>
          <w:rFonts w:hint="eastAsia"/>
        </w:rPr>
        <w:t>；粒径宜为</w:t>
      </w:r>
      <w:r>
        <w:t>5mm</w:t>
      </w:r>
      <w:r>
        <w:rPr>
          <w:rFonts w:hint="eastAsia"/>
        </w:rPr>
        <w:t>～</w:t>
      </w:r>
      <w:r>
        <w:t>20mm</w:t>
      </w:r>
      <w:r>
        <w:rPr>
          <w:rFonts w:hint="eastAsia"/>
        </w:rPr>
        <w:t>，连续级配，最大粒径不应超过</w:t>
      </w:r>
      <w:r>
        <w:t>25mm</w:t>
      </w:r>
      <w:r>
        <w:rPr>
          <w:rFonts w:hint="eastAsia"/>
        </w:rPr>
        <w:t>，且不应大于钢筋最小净距的</w:t>
      </w:r>
      <w:r>
        <w:t>3</w:t>
      </w:r>
      <w:r>
        <w:rPr>
          <w:rFonts w:hint="eastAsia"/>
        </w:rPr>
        <w:t>/</w:t>
      </w:r>
      <w:r>
        <w:t>4</w:t>
      </w:r>
      <w:r>
        <w:rPr>
          <w:rFonts w:hint="eastAsia"/>
        </w:rPr>
        <w:t>。其余技术要求应符合JTG</w:t>
      </w:r>
      <w:r>
        <w:t xml:space="preserve"> </w:t>
      </w:r>
      <w:r>
        <w:rPr>
          <w:rFonts w:hint="eastAsia"/>
        </w:rPr>
        <w:t>E42-2005的规定。</w:t>
      </w:r>
    </w:p>
    <w:p>
      <w:pPr>
        <w:bidi w:val="0"/>
        <w:rPr>
          <w:rFonts w:hint="eastAsia"/>
        </w:rPr>
      </w:pPr>
      <w:r>
        <w:rPr>
          <w:rFonts w:hint="eastAsia"/>
        </w:rPr>
        <w:t>4）选用的骨料应在施工前进行碱活性试验，应优先采用非活性骨料。不应使用碱-碳酸盐反应活性骨料和膨胀率大于</w:t>
      </w:r>
      <w:r>
        <w:t>0.</w:t>
      </w:r>
      <w:r>
        <w:rPr>
          <w:rFonts w:hint="eastAsia"/>
        </w:rPr>
        <w:t>2</w:t>
      </w:r>
      <w:r>
        <w:t>0%</w:t>
      </w:r>
      <w:r>
        <w:rPr>
          <w:rFonts w:hint="eastAsia"/>
        </w:rPr>
        <w:t>的碱-硅酸反应活性骨料。当所采用骨料的碱-硅酸反应膨胀率在</w:t>
      </w:r>
      <w:r>
        <w:t>0.10%</w:t>
      </w:r>
      <w:r>
        <w:rPr>
          <w:rFonts w:hint="eastAsia"/>
        </w:rPr>
        <w:t>～</w:t>
      </w:r>
      <w:r>
        <w:t>0.20%</w:t>
      </w:r>
      <w:r>
        <w:rPr>
          <w:rFonts w:hint="eastAsia"/>
        </w:rPr>
        <w:t>时，混凝土中的总碱含量不宜大于</w:t>
      </w:r>
      <w:r>
        <w:t>3</w:t>
      </w:r>
      <w:r>
        <w:rPr>
          <w:rFonts w:hint="eastAsia"/>
        </w:rPr>
        <w:t>.0</w:t>
      </w:r>
      <w:r>
        <w:t>kg/m3</w:t>
      </w:r>
      <w:r>
        <w:rPr>
          <w:rFonts w:hint="eastAsia"/>
        </w:rPr>
        <w:t>(特大桥、大桥和重要桥梁不宜大于1.8</w:t>
      </w:r>
      <w:r>
        <w:t>kg/m3</w:t>
      </w:r>
      <w:r>
        <w:rPr>
          <w:rFonts w:hint="eastAsia"/>
        </w:rPr>
        <w:t>)，且应经碱-骨料反应抑制措施有效性试验验证合格。</w:t>
      </w:r>
    </w:p>
    <w:p>
      <w:pPr>
        <w:bidi w:val="0"/>
        <w:rPr>
          <w:rFonts w:hint="eastAsia"/>
        </w:rPr>
      </w:pPr>
      <w:r>
        <w:rPr>
          <w:rFonts w:hint="eastAsia"/>
        </w:rPr>
        <w:t>5）混凝土拌和及养护用水应符合JGJ 63-2006的规定要求。混凝土拌和物(含封锚混凝土)中各种原材料引入的氯离子总量不得超过胶凝材料总量的0.06%。</w:t>
      </w:r>
    </w:p>
    <w:p>
      <w:pPr>
        <w:bidi w:val="0"/>
        <w:rPr>
          <w:rFonts w:hint="eastAsia"/>
          <w:lang w:eastAsia="zh-CN"/>
        </w:rPr>
      </w:pPr>
      <w:r>
        <w:rPr>
          <w:rFonts w:hint="eastAsia"/>
        </w:rPr>
        <w:t>6）混凝土矿物掺和料应采用性能稳定的粉煤灰，粉煤灰氯离子含量不宜大于</w:t>
      </w:r>
      <w:r>
        <w:t>0.02%</w:t>
      </w:r>
      <w:r>
        <w:rPr>
          <w:rFonts w:hint="eastAsia"/>
        </w:rPr>
        <w:t>，其余性能应符合</w:t>
      </w:r>
      <w:r>
        <w:t>GB/T</w:t>
      </w:r>
      <w:r>
        <w:rPr>
          <w:rFonts w:hint="eastAsia"/>
        </w:rPr>
        <w:t xml:space="preserve"> </w:t>
      </w:r>
      <w:r>
        <w:t>1596</w:t>
      </w:r>
      <w:r>
        <w:rPr>
          <w:rFonts w:hint="eastAsia"/>
        </w:rPr>
        <w:t>-2005中</w:t>
      </w:r>
      <w:r>
        <w:rPr>
          <w:rFonts w:hint="eastAsia"/>
          <w:lang w:val="en-US" w:eastAsia="zh-CN"/>
        </w:rPr>
        <w:t>Ⅰ</w:t>
      </w:r>
      <w:r>
        <w:rPr>
          <w:rFonts w:hint="eastAsia"/>
        </w:rPr>
        <w:t>级粉煤灰的规定</w:t>
      </w:r>
      <w:r>
        <w:t xml:space="preserve"> </w:t>
      </w:r>
      <w:r>
        <w:rPr>
          <w:rFonts w:hint="eastAsia"/>
          <w:lang w:eastAsia="zh-CN"/>
        </w:rPr>
        <w:t>。</w:t>
      </w:r>
    </w:p>
    <w:p>
      <w:pPr>
        <w:pStyle w:val="5"/>
        <w:bidi w:val="0"/>
        <w:rPr>
          <w:rFonts w:hint="default"/>
          <w:lang w:val="en-US" w:eastAsia="zh-CN"/>
        </w:rPr>
      </w:pPr>
      <w:r>
        <w:rPr>
          <w:rFonts w:hint="eastAsia"/>
          <w:lang w:val="en-US" w:eastAsia="zh-CN"/>
        </w:rPr>
        <w:t>外加剂要求</w:t>
      </w:r>
    </w:p>
    <w:p>
      <w:pPr>
        <w:bidi w:val="0"/>
        <w:rPr>
          <w:rFonts w:hint="eastAsia"/>
        </w:rPr>
      </w:pPr>
      <w:r>
        <w:rPr>
          <w:rFonts w:hint="eastAsia"/>
        </w:rPr>
        <w:t>外加剂应采用品质稳定、且与胶凝材料具有良好相容性的产品。减水剂宜采用高效聚羧酸高性能减水剂，性能指标应符合《混凝土外加剂》(</w:t>
      </w:r>
      <w:r>
        <w:t>GB</w:t>
      </w:r>
      <w:r>
        <w:rPr>
          <w:rFonts w:hint="eastAsia"/>
        </w:rPr>
        <w:t xml:space="preserve"> </w:t>
      </w:r>
      <w:r>
        <w:t>8076</w:t>
      </w:r>
      <w:r>
        <w:rPr>
          <w:rFonts w:hint="eastAsia"/>
        </w:rPr>
        <w:t>-2008)的规定，减水剂掺量以及与水泥的适用性应由试验确定。引气剂和膨胀剂应分别符合《混凝土外加剂》(</w:t>
      </w:r>
      <w:r>
        <w:t>GB</w:t>
      </w:r>
      <w:r>
        <w:rPr>
          <w:rFonts w:hint="eastAsia"/>
        </w:rPr>
        <w:t xml:space="preserve"> </w:t>
      </w:r>
      <w:r>
        <w:t>8076</w:t>
      </w:r>
      <w:r>
        <w:rPr>
          <w:rFonts w:hint="eastAsia"/>
        </w:rPr>
        <w:t>-2008)和《混凝土膨胀剂》(GB23439-2009)的要求。</w:t>
      </w:r>
    </w:p>
    <w:p>
      <w:pPr>
        <w:pStyle w:val="5"/>
        <w:bidi w:val="0"/>
        <w:rPr>
          <w:rFonts w:hint="default"/>
          <w:lang w:val="en-US" w:eastAsia="zh-CN"/>
        </w:rPr>
      </w:pPr>
      <w:r>
        <w:rPr>
          <w:rFonts w:hint="eastAsia"/>
          <w:lang w:val="en-US" w:eastAsia="zh-CN"/>
        </w:rPr>
        <w:t>主体结构混凝土强度等级</w:t>
      </w:r>
    </w:p>
    <w:p>
      <w:pPr>
        <w:bidi w:val="0"/>
        <w:rPr>
          <w:rFonts w:hint="eastAsia"/>
        </w:rPr>
      </w:pPr>
      <w:r>
        <w:rPr>
          <w:rFonts w:hint="eastAsia" w:ascii="宋体" w:hAnsi="宋体"/>
          <w:sz w:val="28"/>
          <w:szCs w:val="28"/>
        </w:rPr>
        <w:t>预制主梁、端横梁、封锚、现浇湿接缝</w:t>
      </w:r>
      <w:r>
        <w:rPr>
          <w:rFonts w:hint="eastAsia"/>
        </w:rPr>
        <w:t>： C50</w:t>
      </w:r>
    </w:p>
    <w:p>
      <w:pPr>
        <w:bidi w:val="0"/>
        <w:rPr>
          <w:rFonts w:hint="eastAsia"/>
        </w:rPr>
      </w:pPr>
      <w:r>
        <w:rPr>
          <w:rFonts w:hint="eastAsia"/>
          <w:lang w:val="en-US" w:eastAsia="zh-CN"/>
        </w:rPr>
        <w:t>调平层：C40</w:t>
      </w:r>
    </w:p>
    <w:p>
      <w:pPr>
        <w:bidi w:val="0"/>
        <w:rPr>
          <w:rFonts w:hint="eastAsia"/>
        </w:rPr>
      </w:pPr>
      <w:r>
        <w:rPr>
          <w:rFonts w:hint="eastAsia"/>
        </w:rPr>
        <w:t>桥面铺装：沥青砼</w:t>
      </w:r>
    </w:p>
    <w:p>
      <w:pPr>
        <w:bidi w:val="0"/>
        <w:rPr>
          <w:rFonts w:hint="eastAsia"/>
        </w:rPr>
      </w:pPr>
      <w:r>
        <w:rPr>
          <w:rFonts w:hint="eastAsia"/>
        </w:rPr>
        <w:t>支座垫石： C50（细石）</w:t>
      </w:r>
    </w:p>
    <w:p>
      <w:pPr>
        <w:bidi w:val="0"/>
        <w:rPr>
          <w:rFonts w:hint="eastAsia"/>
          <w:lang w:val="en-US" w:eastAsia="zh-CN"/>
        </w:rPr>
      </w:pPr>
      <w:r>
        <w:rPr>
          <w:rFonts w:hint="eastAsia" w:ascii="宋体" w:hAnsi="宋体"/>
          <w:sz w:val="28"/>
          <w:szCs w:val="28"/>
        </w:rPr>
        <w:t>盖梁、</w:t>
      </w:r>
      <w:r>
        <w:rPr>
          <w:rFonts w:hint="eastAsia" w:ascii="宋体" w:hAnsi="宋体"/>
          <w:sz w:val="28"/>
          <w:szCs w:val="28"/>
          <w:lang w:val="en-US" w:eastAsia="zh-CN"/>
        </w:rPr>
        <w:t>承台、</w:t>
      </w:r>
      <w:r>
        <w:rPr>
          <w:rFonts w:hint="eastAsia" w:ascii="宋体" w:hAnsi="宋体"/>
          <w:sz w:val="28"/>
          <w:szCs w:val="28"/>
        </w:rPr>
        <w:t>台身、耳背墙、防震挡块、搭板</w:t>
      </w:r>
      <w:r>
        <w:rPr>
          <w:rFonts w:hint="eastAsia" w:ascii="宋体" w:hAnsi="宋体"/>
          <w:sz w:val="28"/>
          <w:szCs w:val="28"/>
          <w:lang w:eastAsia="zh-CN"/>
        </w:rPr>
        <w:t>：</w:t>
      </w:r>
      <w:r>
        <w:rPr>
          <w:rFonts w:hint="eastAsia" w:ascii="宋体" w:hAnsi="宋体"/>
          <w:sz w:val="28"/>
          <w:szCs w:val="28"/>
        </w:rPr>
        <w:t>C35</w:t>
      </w:r>
    </w:p>
    <w:p>
      <w:pPr>
        <w:bidi w:val="0"/>
        <w:rPr>
          <w:rFonts w:hint="default" w:eastAsia="宋体"/>
          <w:lang w:val="en-US" w:eastAsia="zh-CN"/>
        </w:rPr>
      </w:pPr>
      <w:r>
        <w:rPr>
          <w:rFonts w:hint="eastAsia"/>
        </w:rPr>
        <w:t>桩基：水下 C30</w:t>
      </w:r>
      <w:r>
        <w:t xml:space="preserve"> </w:t>
      </w:r>
      <w:r>
        <w:rPr>
          <w:rFonts w:hint="eastAsia"/>
          <w:lang w:val="en-US" w:eastAsia="zh-CN"/>
        </w:rPr>
        <w:t xml:space="preserve"> 承台：C30</w:t>
      </w:r>
    </w:p>
    <w:p>
      <w:pPr>
        <w:pStyle w:val="4"/>
        <w:bidi w:val="0"/>
        <w:rPr>
          <w:rFonts w:hint="eastAsia"/>
          <w:lang w:val="en-US" w:eastAsia="zh-CN"/>
        </w:rPr>
      </w:pPr>
      <w:r>
        <w:rPr>
          <w:rFonts w:hint="eastAsia"/>
          <w:lang w:val="en-US" w:eastAsia="zh-CN"/>
        </w:rPr>
        <w:t>钢筋</w:t>
      </w:r>
    </w:p>
    <w:p>
      <w:pPr>
        <w:pStyle w:val="5"/>
        <w:numPr>
          <w:ilvl w:val="0"/>
          <w:numId w:val="13"/>
        </w:numPr>
        <w:bidi w:val="0"/>
        <w:rPr>
          <w:rFonts w:hint="eastAsia"/>
        </w:rPr>
      </w:pPr>
      <w:r>
        <w:rPr>
          <w:rFonts w:hint="eastAsia"/>
        </w:rPr>
        <w:t>普通钢筋</w:t>
      </w:r>
    </w:p>
    <w:p>
      <w:pPr>
        <w:bidi w:val="0"/>
        <w:rPr>
          <w:rFonts w:hint="eastAsia"/>
        </w:rPr>
      </w:pPr>
      <w:r>
        <w:rPr>
          <w:rFonts w:hint="eastAsia"/>
        </w:rPr>
        <w:t>设计采用HPB300 级和HRB400 级钢筋；带肋钢筋的技术标准应符合《钢筋混凝土用热轧带肋钢筋》（GBT 1499.2-2018 ）的规定，光圆钢筋应符合《钢筋混凝土用热轧光圆钢筋》（GB 1499.1-2017）国家标准第1号修改单的规定。</w:t>
      </w:r>
    </w:p>
    <w:p>
      <w:pPr>
        <w:pStyle w:val="5"/>
        <w:bidi w:val="0"/>
        <w:rPr>
          <w:rFonts w:hint="eastAsia"/>
        </w:rPr>
      </w:pPr>
      <w:r>
        <w:rPr>
          <w:rFonts w:hint="eastAsia"/>
        </w:rPr>
        <w:t>预应力钢绞线</w:t>
      </w:r>
    </w:p>
    <w:p>
      <w:pPr>
        <w:bidi w:val="0"/>
        <w:rPr>
          <w:rFonts w:hint="eastAsia"/>
        </w:rPr>
      </w:pPr>
      <w:r>
        <w:rPr>
          <w:rFonts w:hint="eastAsia"/>
        </w:rPr>
        <w:t>预应力钢绞线采用抗拉强度标准值</w:t>
      </w:r>
      <w:r>
        <w:rPr>
          <w:rFonts w:ascii="宋体" w:hAnsi="宋体"/>
          <w:position w:val="-14"/>
          <w:szCs w:val="28"/>
        </w:rPr>
        <w:object>
          <v:shape id="_x0000_i1025" o:spt="75" type="#_x0000_t75" style="height:19pt;width:17pt;" o:ole="t" filled="f" o:preferrelative="t" stroked="f" coordsize="21600,21600">
            <v:path/>
            <v:fill on="f" alignshape="1" focussize="0,0"/>
            <v:stroke on="f"/>
            <v:imagedata r:id="rId10" grayscale="f" bilevel="f" o:title=""/>
            <o:lock v:ext="edit" aspectratio="t"/>
            <w10:wrap type="none"/>
            <w10:anchorlock/>
          </v:shape>
          <o:OLEObject Type="Embed" ProgID="Equation.DSMT4" ShapeID="_x0000_i1025" DrawAspect="Content" ObjectID="_1468075725" r:id="rId9">
            <o:LockedField>false</o:LockedField>
          </o:OLEObject>
        </w:object>
      </w:r>
      <w:r>
        <w:rPr>
          <w:rFonts w:hint="eastAsia"/>
        </w:rPr>
        <w:t>=1860MPa、公称直径d=15.2mm的低松弛高强度钢绞线，其各项技术性能应符合《预应力混凝土用钢绞线》（GB/T5224-2003）的规定。对进厂(场)钢绞线按批号进行拉伸试验、弹性模量试验。钢绞线弹性模量的偏差尚应满足同批≤5GPa，各批≤10GPa的规定，供应商应提供每批钢绞线的实际弹性模量值。</w:t>
      </w:r>
    </w:p>
    <w:p>
      <w:pPr>
        <w:pStyle w:val="5"/>
        <w:bidi w:val="0"/>
        <w:rPr>
          <w:rFonts w:hint="eastAsia"/>
        </w:rPr>
      </w:pPr>
      <w:r>
        <w:rPr>
          <w:rFonts w:hint="eastAsia"/>
        </w:rPr>
        <w:t>其他材料</w:t>
      </w:r>
    </w:p>
    <w:p>
      <w:pPr>
        <w:bidi w:val="0"/>
        <w:rPr>
          <w:rFonts w:hint="eastAsia"/>
        </w:rPr>
      </w:pPr>
      <w:r>
        <w:rPr>
          <w:rFonts w:hint="eastAsia"/>
        </w:rPr>
        <w:t>1）钢板：预埋钢配件采用Q235NH钢材，其性能应符合耐候结构钢(GB/T 4171-2008)的规定。</w:t>
      </w:r>
    </w:p>
    <w:p>
      <w:pPr>
        <w:bidi w:val="0"/>
        <w:rPr>
          <w:rFonts w:hint="eastAsia"/>
        </w:rPr>
      </w:pPr>
      <w:r>
        <w:rPr>
          <w:rFonts w:hint="eastAsia"/>
        </w:rPr>
        <w:t>2）锚具：预制箱梁正弯矩钢束采用YM15-5、YM15-6圆形锚具及其配套的配件，锚具及其配套的配件必须采用工厂定型产品，并应符合JT／T 329—2010《公路桥梁预应力钢绞线用锚具、夹具和连接器》的要求。</w:t>
      </w:r>
    </w:p>
    <w:p>
      <w:pPr>
        <w:bidi w:val="0"/>
        <w:rPr>
          <w:rFonts w:hint="eastAsia"/>
        </w:rPr>
      </w:pPr>
      <w:r>
        <w:rPr>
          <w:rFonts w:hint="eastAsia"/>
        </w:rPr>
        <w:t>3）预应力管道：采用预埋圆形金属波纹管成孔, 圆形金属波纹管符合</w:t>
      </w:r>
      <w:r>
        <w:t>JG 225</w:t>
      </w:r>
      <w:r>
        <w:rPr>
          <w:rFonts w:hint="eastAsia"/>
        </w:rPr>
        <w:t>-2007《预应力混凝土用金属波纹管》的要求。</w:t>
      </w:r>
    </w:p>
    <w:p>
      <w:pPr>
        <w:bidi w:val="0"/>
        <w:rPr>
          <w:rFonts w:hint="eastAsia"/>
        </w:rPr>
      </w:pPr>
      <w:r>
        <w:rPr>
          <w:rFonts w:hint="eastAsia"/>
        </w:rPr>
        <w:t>4）支座：采用板式橡胶支座，应采用氯丁橡胶（CR）生产，其材料和力学性能均应符合</w:t>
      </w:r>
      <w:r>
        <w:rPr>
          <w:rFonts w:hint="eastAsia"/>
          <w:lang w:eastAsia="zh-CN"/>
        </w:rPr>
        <w:t>《公路桥梁板式橡胶支座》（JT/T4-20</w:t>
      </w:r>
      <w:r>
        <w:rPr>
          <w:rFonts w:hint="eastAsia"/>
          <w:lang w:val="en-US" w:eastAsia="zh-CN"/>
        </w:rPr>
        <w:t>19</w:t>
      </w:r>
      <w:r>
        <w:rPr>
          <w:rFonts w:hint="eastAsia"/>
          <w:lang w:eastAsia="zh-CN"/>
        </w:rPr>
        <w:t>）</w:t>
      </w:r>
      <w:r>
        <w:rPr>
          <w:rFonts w:hint="eastAsia"/>
        </w:rPr>
        <w:t>的规定，支座安装应按厂家要求进行。</w:t>
      </w:r>
    </w:p>
    <w:p>
      <w:pPr>
        <w:bidi w:val="0"/>
        <w:rPr>
          <w:rFonts w:hint="eastAsia"/>
        </w:rPr>
      </w:pPr>
      <w:r>
        <w:rPr>
          <w:rFonts w:hint="eastAsia"/>
        </w:rPr>
        <w:t>5）防水粘结层：采用沥青混凝土桥面铺装时，应结合桥面粘结要求设置沥青基类防水粘结层，采用水泥混凝土桥面铺装时可设置非沥青基类防水层。</w:t>
      </w:r>
    </w:p>
    <w:p>
      <w:pPr>
        <w:pStyle w:val="3"/>
        <w:bidi w:val="0"/>
        <w:rPr>
          <w:rFonts w:hint="eastAsia"/>
          <w:lang w:val="en-US" w:eastAsia="zh-CN"/>
        </w:rPr>
      </w:pPr>
      <w:r>
        <w:rPr>
          <w:rFonts w:hint="eastAsia"/>
          <w:lang w:val="en-US" w:eastAsia="zh-CN"/>
        </w:rPr>
        <w:t>设计参数</w:t>
      </w:r>
    </w:p>
    <w:p>
      <w:pPr>
        <w:numPr>
          <w:ilvl w:val="0"/>
          <w:numId w:val="14"/>
        </w:numPr>
        <w:bidi w:val="0"/>
        <w:rPr>
          <w:rFonts w:hint="eastAsia"/>
        </w:rPr>
      </w:pPr>
      <w:r>
        <w:rPr>
          <w:rFonts w:hint="eastAsia"/>
        </w:rPr>
        <w:t>混凝土：重力密度γ=26.0kN/</w:t>
      </w:r>
      <w:r>
        <w:rPr>
          <w:rFonts w:hint="eastAsia"/>
          <w:lang w:val="en-US" w:eastAsia="zh-CN"/>
        </w:rPr>
        <w:t>m³</w:t>
      </w:r>
      <w:r>
        <w:rPr>
          <w:rFonts w:hint="eastAsia"/>
        </w:rPr>
        <w:t>，弹性模量为Ec=3.45×</w:t>
      </w:r>
      <w:r>
        <w:rPr>
          <w:rFonts w:hint="eastAsia" w:hAnsi="宋体"/>
          <w:szCs w:val="28"/>
        </w:rPr>
        <w:object>
          <v:shape id="_x0000_i1026" o:spt="75" type="#_x0000_t75" style="height:16pt;width:18pt;" o:ole="t" filled="f" o:preferrelative="t" stroked="f" coordsize="21600,21600">
            <v:path/>
            <v:fill on="f" alignshape="1" focussize="0,0"/>
            <v:stroke on="f"/>
            <v:imagedata r:id="rId12" grayscale="f" bilevel="f" o:title=""/>
            <o:lock v:ext="edit" aspectratio="t"/>
            <w10:wrap type="none"/>
            <w10:anchorlock/>
          </v:shape>
          <o:OLEObject Type="Embed" ProgID="Equation.DSMT4" ShapeID="_x0000_i1026" DrawAspect="Content" ObjectID="_1468075726" r:id="rId11">
            <o:LockedField>false</o:LockedField>
          </o:OLEObject>
        </w:object>
      </w:r>
      <w:r>
        <w:rPr>
          <w:rFonts w:hint="eastAsia"/>
        </w:rPr>
        <w:t>MPa；</w:t>
      </w:r>
    </w:p>
    <w:p>
      <w:pPr>
        <w:numPr>
          <w:ilvl w:val="0"/>
          <w:numId w:val="14"/>
        </w:numPr>
        <w:bidi w:val="0"/>
        <w:rPr>
          <w:rFonts w:hint="eastAsia"/>
        </w:rPr>
      </w:pPr>
      <w:r>
        <w:rPr>
          <w:rFonts w:hint="eastAsia"/>
        </w:rPr>
        <w:t>沥青混凝土：重力密度γ=24.0kN /</w:t>
      </w:r>
      <w:r>
        <w:rPr>
          <w:rFonts w:hint="eastAsia"/>
          <w:lang w:val="en-US" w:eastAsia="zh-CN"/>
        </w:rPr>
        <w:t>m³</w:t>
      </w:r>
      <w:r>
        <w:rPr>
          <w:rFonts w:hint="eastAsia"/>
        </w:rPr>
        <w:t>；</w:t>
      </w:r>
    </w:p>
    <w:p>
      <w:pPr>
        <w:numPr>
          <w:ilvl w:val="0"/>
          <w:numId w:val="14"/>
        </w:numPr>
        <w:bidi w:val="0"/>
        <w:rPr>
          <w:rFonts w:hint="eastAsia"/>
        </w:rPr>
      </w:pPr>
      <w:r>
        <w:rPr>
          <w:rFonts w:hint="eastAsia"/>
        </w:rPr>
        <w:t>预应力钢绞线：弹性模量Ep=1.95×</w:t>
      </w:r>
      <w:r>
        <w:rPr>
          <w:rFonts w:hint="eastAsia" w:hAnsi="宋体"/>
          <w:position w:val="-6"/>
          <w:szCs w:val="28"/>
        </w:rPr>
        <w:object>
          <v:shape id="_x0000_i1027" o:spt="75" type="#_x0000_t75" style="height:16pt;width:18pt;" o:ole="t" filled="f" o:preferrelative="t" stroked="f" coordsize="21600,21600">
            <v:path/>
            <v:fill on="f" focussize="0,0"/>
            <v:stroke on="f"/>
            <v:imagedata r:id="rId14" o:title=""/>
            <o:lock v:ext="edit" aspectratio="t"/>
            <w10:wrap type="none"/>
            <w10:anchorlock/>
          </v:shape>
          <o:OLEObject Type="Embed" ProgID="Equation.DSMT4" ShapeID="_x0000_i1027" DrawAspect="Content" ObjectID="_1468075727" r:id="rId13">
            <o:LockedField>false</o:LockedField>
          </o:OLEObject>
        </w:object>
      </w:r>
      <w:r>
        <w:rPr>
          <w:rFonts w:hint="eastAsia"/>
        </w:rPr>
        <w:t xml:space="preserve"> MPa，松驰系数ζ＝0.3；</w:t>
      </w:r>
    </w:p>
    <w:p>
      <w:pPr>
        <w:numPr>
          <w:ilvl w:val="0"/>
          <w:numId w:val="14"/>
        </w:numPr>
        <w:bidi w:val="0"/>
        <w:rPr>
          <w:rFonts w:hint="eastAsia"/>
        </w:rPr>
      </w:pPr>
      <w:r>
        <w:rPr>
          <w:rFonts w:hint="eastAsia"/>
        </w:rPr>
        <w:t>锚具：锚具变形、钢筋回缩取6mm（一端）；</w:t>
      </w:r>
    </w:p>
    <w:p>
      <w:pPr>
        <w:numPr>
          <w:ilvl w:val="0"/>
          <w:numId w:val="14"/>
        </w:numPr>
        <w:bidi w:val="0"/>
        <w:rPr>
          <w:rFonts w:hint="eastAsia"/>
        </w:rPr>
      </w:pPr>
      <w:r>
        <w:rPr>
          <w:rFonts w:hint="eastAsia"/>
        </w:rPr>
        <w:t>台后填土：重力密度γ＝19kN/</w:t>
      </w:r>
      <w:r>
        <w:rPr>
          <w:rFonts w:hint="eastAsia"/>
          <w:lang w:val="en-US" w:eastAsia="zh-CN"/>
        </w:rPr>
        <w:t>m³</w:t>
      </w:r>
      <w:r>
        <w:rPr>
          <w:rFonts w:hint="eastAsia"/>
        </w:rPr>
        <w:t>；</w:t>
      </w:r>
    </w:p>
    <w:p>
      <w:pPr>
        <w:numPr>
          <w:ilvl w:val="0"/>
          <w:numId w:val="14"/>
        </w:numPr>
        <w:bidi w:val="0"/>
        <w:rPr>
          <w:rFonts w:hint="eastAsia"/>
        </w:rPr>
      </w:pPr>
      <w:r>
        <w:rPr>
          <w:rFonts w:hint="eastAsia"/>
        </w:rPr>
        <w:t>填土内摩擦角:φ=30°；</w:t>
      </w:r>
    </w:p>
    <w:p>
      <w:pPr>
        <w:numPr>
          <w:ilvl w:val="0"/>
          <w:numId w:val="14"/>
        </w:numPr>
        <w:bidi w:val="0"/>
        <w:rPr>
          <w:rFonts w:hint="eastAsia"/>
        </w:rPr>
      </w:pPr>
      <w:r>
        <w:rPr>
          <w:rFonts w:hint="eastAsia"/>
        </w:rPr>
        <w:t>地基比例系数：m = 5000kN/</w:t>
      </w:r>
      <w:r>
        <w:rPr>
          <w:rFonts w:hint="eastAsia"/>
          <w:lang w:val="en-US" w:eastAsia="zh-CN"/>
        </w:rPr>
        <w:t>m</w:t>
      </w:r>
      <w:r>
        <w:rPr>
          <w:rFonts w:hint="eastAsia"/>
        </w:rPr>
        <w:t>⁴、m = 10000kN/</w:t>
      </w:r>
      <w:r>
        <w:rPr>
          <w:rFonts w:hint="eastAsia"/>
          <w:lang w:val="en-US" w:eastAsia="zh-CN"/>
        </w:rPr>
        <w:t>m</w:t>
      </w:r>
      <w:r>
        <w:rPr>
          <w:rFonts w:hint="eastAsia"/>
        </w:rPr>
        <w:t>⁴等2种。</w:t>
      </w:r>
    </w:p>
    <w:p>
      <w:pPr>
        <w:numPr>
          <w:ilvl w:val="0"/>
          <w:numId w:val="14"/>
        </w:numPr>
        <w:bidi w:val="0"/>
        <w:rPr>
          <w:rFonts w:hint="eastAsia"/>
        </w:rPr>
      </w:pPr>
      <w:r>
        <w:rPr>
          <w:rFonts w:hint="eastAsia"/>
        </w:rPr>
        <w:t>管道摩擦系数：ｕ＝0.25；</w:t>
      </w:r>
    </w:p>
    <w:p>
      <w:pPr>
        <w:numPr>
          <w:ilvl w:val="0"/>
          <w:numId w:val="14"/>
        </w:numPr>
        <w:bidi w:val="0"/>
        <w:rPr>
          <w:rFonts w:hint="eastAsia"/>
        </w:rPr>
      </w:pPr>
      <w:r>
        <w:rPr>
          <w:rFonts w:hint="eastAsia"/>
        </w:rPr>
        <w:t>管道偏差系数：κ＝0.0015；</w:t>
      </w:r>
    </w:p>
    <w:p>
      <w:pPr>
        <w:numPr>
          <w:ilvl w:val="0"/>
          <w:numId w:val="14"/>
        </w:numPr>
        <w:bidi w:val="0"/>
        <w:rPr>
          <w:rFonts w:hint="eastAsia"/>
        </w:rPr>
      </w:pPr>
      <w:r>
        <w:rPr>
          <w:rFonts w:hint="eastAsia"/>
        </w:rPr>
        <w:t>竖向梯度温度效应：考虑沥青铺装层和调平层（含水泥混凝土铺装）对梯度温度的影响, 按现行规范规定取值。</w:t>
      </w:r>
    </w:p>
    <w:p>
      <w:pPr>
        <w:numPr>
          <w:ilvl w:val="0"/>
          <w:numId w:val="14"/>
        </w:numPr>
        <w:bidi w:val="0"/>
        <w:rPr>
          <w:rFonts w:hint="eastAsia"/>
        </w:rPr>
      </w:pPr>
      <w:r>
        <w:rPr>
          <w:rFonts w:hint="eastAsia"/>
        </w:rPr>
        <w:t>年平均相对湿度：70～99％。</w:t>
      </w:r>
    </w:p>
    <w:p>
      <w:pPr>
        <w:numPr>
          <w:ilvl w:val="0"/>
          <w:numId w:val="14"/>
        </w:numPr>
        <w:bidi w:val="0"/>
        <w:rPr>
          <w:rFonts w:hint="eastAsia"/>
        </w:rPr>
      </w:pPr>
      <w:r>
        <w:rPr>
          <w:rFonts w:hint="eastAsia"/>
        </w:rPr>
        <w:t>一片梁梁端支点最大反力(汽车反力考虑冲击系数)：</w:t>
      </w:r>
    </w:p>
    <w:p>
      <w:pPr>
        <w:widowControl w:val="0"/>
        <w:numPr>
          <w:ilvl w:val="0"/>
          <w:numId w:val="0"/>
        </w:numPr>
        <w:bidi w:val="0"/>
        <w:jc w:val="left"/>
        <w:rPr>
          <w:rFonts w:hint="eastAsia"/>
        </w:rPr>
      </w:pPr>
    </w:p>
    <w:p>
      <w:pPr>
        <w:widowControl w:val="0"/>
        <w:numPr>
          <w:ilvl w:val="0"/>
          <w:numId w:val="0"/>
        </w:numPr>
        <w:bidi w:val="0"/>
        <w:jc w:val="left"/>
        <w:rPr>
          <w:rFonts w:hint="eastAsia"/>
        </w:rPr>
      </w:pPr>
    </w:p>
    <w:p>
      <w:pPr>
        <w:spacing w:line="360" w:lineRule="auto"/>
        <w:ind w:left="148" w:leftChars="53" w:firstLine="84" w:firstLineChars="35"/>
        <w:jc w:val="center"/>
        <w:rPr>
          <w:rFonts w:hint="eastAsia" w:ascii="宋体" w:hAnsi="宋体"/>
          <w:b/>
          <w:bCs/>
          <w:sz w:val="24"/>
          <w:szCs w:val="24"/>
          <w:lang w:val="en-US" w:eastAsia="zh-CN"/>
        </w:rPr>
      </w:pPr>
      <w:r>
        <w:rPr>
          <w:rFonts w:hint="eastAsia" w:ascii="宋体" w:hAnsi="宋体"/>
          <w:b/>
          <w:bCs/>
          <w:sz w:val="24"/>
          <w:szCs w:val="24"/>
          <w:lang w:val="en-US" w:eastAsia="zh-CN"/>
        </w:rPr>
        <w:t xml:space="preserve">              </w:t>
      </w:r>
      <w:r>
        <w:rPr>
          <w:rFonts w:hint="eastAsia" w:ascii="宋体" w:hAnsi="宋体"/>
          <w:b/>
          <w:bCs/>
          <w:sz w:val="24"/>
          <w:szCs w:val="24"/>
        </w:rPr>
        <w:t>一片梁梁端支点最大反力</w:t>
      </w:r>
      <w:r>
        <w:rPr>
          <w:rFonts w:hint="eastAsia" w:ascii="宋体" w:hAnsi="宋体"/>
          <w:b/>
          <w:bCs/>
          <w:sz w:val="24"/>
          <w:szCs w:val="24"/>
          <w:lang w:val="en-US" w:eastAsia="zh-CN"/>
        </w:rPr>
        <w:t xml:space="preserve">                 </w:t>
      </w:r>
      <w:r>
        <w:rPr>
          <w:rFonts w:hint="eastAsia" w:ascii="宋体" w:hAnsi="宋体"/>
          <w:b w:val="0"/>
          <w:bCs w:val="0"/>
          <w:sz w:val="24"/>
          <w:szCs w:val="24"/>
          <w:lang w:val="en-US" w:eastAsia="zh-CN"/>
        </w:rPr>
        <w:t>表7-1</w:t>
      </w:r>
    </w:p>
    <w:tbl>
      <w:tblPr>
        <w:tblStyle w:val="10"/>
        <w:tblW w:w="4708"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658"/>
        <w:gridCol w:w="2104"/>
        <w:gridCol w:w="2108"/>
        <w:gridCol w:w="247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0" w:hRule="atLeast"/>
          <w:jc w:val="center"/>
        </w:trPr>
        <w:tc>
          <w:tcPr>
            <w:tcW w:w="1422" w:type="pct"/>
            <w:vMerge w:val="restart"/>
            <w:noWrap w:val="0"/>
            <w:vAlign w:val="center"/>
          </w:tcPr>
          <w:p>
            <w:pPr>
              <w:adjustRightInd w:val="0"/>
              <w:snapToGrid w:val="0"/>
              <w:ind w:firstLine="0" w:firstLineChars="0"/>
              <w:jc w:val="center"/>
              <w:rPr>
                <w:rFonts w:hint="eastAsia" w:ascii="Times New Roman" w:hAnsi="Times New Roman" w:cs="Times New Roman"/>
                <w:b/>
                <w:sz w:val="21"/>
                <w:szCs w:val="21"/>
              </w:rPr>
            </w:pPr>
            <w:r>
              <w:rPr>
                <w:rFonts w:hint="eastAsia" w:ascii="Times New Roman" w:hAnsi="Times New Roman" w:cs="Times New Roman"/>
                <w:b/>
                <w:sz w:val="21"/>
                <w:szCs w:val="21"/>
              </w:rPr>
              <w:t>项  目</w:t>
            </w:r>
          </w:p>
        </w:tc>
        <w:tc>
          <w:tcPr>
            <w:tcW w:w="2254" w:type="pct"/>
            <w:gridSpan w:val="2"/>
            <w:noWrap w:val="0"/>
            <w:vAlign w:val="center"/>
          </w:tcPr>
          <w:p>
            <w:pPr>
              <w:adjustRightInd w:val="0"/>
              <w:snapToGrid w:val="0"/>
              <w:ind w:firstLine="0" w:firstLineChars="0"/>
              <w:jc w:val="center"/>
              <w:rPr>
                <w:rFonts w:hint="eastAsia" w:ascii="Times New Roman" w:hAnsi="Times New Roman" w:cs="Times New Roman"/>
                <w:b/>
                <w:sz w:val="21"/>
                <w:szCs w:val="21"/>
              </w:rPr>
            </w:pPr>
            <w:r>
              <w:rPr>
                <w:rFonts w:hint="eastAsia" w:ascii="Times New Roman" w:hAnsi="Times New Roman" w:cs="Times New Roman"/>
                <w:b/>
                <w:sz w:val="21"/>
                <w:szCs w:val="21"/>
              </w:rPr>
              <w:t>反力（kN）</w:t>
            </w:r>
          </w:p>
        </w:tc>
        <w:tc>
          <w:tcPr>
            <w:tcW w:w="1324" w:type="pct"/>
            <w:noWrap w:val="0"/>
            <w:vAlign w:val="center"/>
          </w:tcPr>
          <w:p>
            <w:pPr>
              <w:adjustRightInd w:val="0"/>
              <w:snapToGrid w:val="0"/>
              <w:ind w:firstLine="0" w:firstLineChars="0"/>
              <w:jc w:val="center"/>
              <w:rPr>
                <w:rFonts w:hint="eastAsia" w:ascii="Times New Roman" w:hAnsi="Times New Roman" w:cs="Times New Roman"/>
                <w:b/>
                <w:sz w:val="21"/>
                <w:szCs w:val="21"/>
              </w:rPr>
            </w:pPr>
            <w:r>
              <w:rPr>
                <w:rFonts w:hint="eastAsia" w:ascii="Times New Roman" w:hAnsi="Times New Roman" w:cs="Times New Roman"/>
                <w:b/>
                <w:sz w:val="21"/>
                <w:szCs w:val="21"/>
              </w:rPr>
              <w:t>转角（rad）</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0" w:hRule="atLeast"/>
          <w:jc w:val="center"/>
        </w:trPr>
        <w:tc>
          <w:tcPr>
            <w:tcW w:w="1422" w:type="pct"/>
            <w:vMerge w:val="continue"/>
            <w:noWrap w:val="0"/>
            <w:vAlign w:val="center"/>
          </w:tcPr>
          <w:p>
            <w:pPr>
              <w:adjustRightInd w:val="0"/>
              <w:snapToGrid w:val="0"/>
              <w:ind w:firstLine="0" w:firstLineChars="0"/>
              <w:jc w:val="center"/>
              <w:rPr>
                <w:rFonts w:hint="eastAsia" w:ascii="Times New Roman" w:hAnsi="Times New Roman" w:cs="Times New Roman"/>
                <w:b/>
                <w:sz w:val="21"/>
                <w:szCs w:val="21"/>
              </w:rPr>
            </w:pPr>
          </w:p>
        </w:tc>
        <w:tc>
          <w:tcPr>
            <w:tcW w:w="1126" w:type="pct"/>
            <w:noWrap w:val="0"/>
            <w:vAlign w:val="center"/>
          </w:tcPr>
          <w:p>
            <w:pPr>
              <w:adjustRightInd w:val="0"/>
              <w:snapToGrid w:val="0"/>
              <w:ind w:firstLine="0" w:firstLineChars="0"/>
              <w:jc w:val="center"/>
              <w:rPr>
                <w:rFonts w:hint="eastAsia" w:ascii="Times New Roman" w:hAnsi="Times New Roman" w:cs="Times New Roman"/>
                <w:b/>
                <w:sz w:val="21"/>
                <w:szCs w:val="21"/>
              </w:rPr>
            </w:pPr>
            <w:r>
              <w:rPr>
                <w:rFonts w:hint="eastAsia" w:ascii="Times New Roman" w:hAnsi="Times New Roman" w:cs="Times New Roman"/>
                <w:b/>
                <w:sz w:val="21"/>
                <w:szCs w:val="21"/>
              </w:rPr>
              <w:t>恒载</w:t>
            </w:r>
          </w:p>
        </w:tc>
        <w:tc>
          <w:tcPr>
            <w:tcW w:w="1128" w:type="pct"/>
            <w:noWrap w:val="0"/>
            <w:vAlign w:val="center"/>
          </w:tcPr>
          <w:p>
            <w:pPr>
              <w:adjustRightInd w:val="0"/>
              <w:snapToGrid w:val="0"/>
              <w:ind w:firstLine="0" w:firstLineChars="0"/>
              <w:jc w:val="center"/>
              <w:rPr>
                <w:rFonts w:hint="eastAsia" w:ascii="Times New Roman" w:hAnsi="Times New Roman" w:cs="Times New Roman"/>
                <w:b/>
                <w:sz w:val="21"/>
                <w:szCs w:val="21"/>
              </w:rPr>
            </w:pPr>
            <w:r>
              <w:rPr>
                <w:rFonts w:hint="eastAsia" w:ascii="Times New Roman" w:hAnsi="Times New Roman" w:cs="Times New Roman"/>
                <w:b/>
                <w:sz w:val="21"/>
                <w:szCs w:val="21"/>
              </w:rPr>
              <w:t>恒+活</w:t>
            </w:r>
          </w:p>
        </w:tc>
        <w:tc>
          <w:tcPr>
            <w:tcW w:w="1324" w:type="pct"/>
            <w:noWrap w:val="0"/>
            <w:vAlign w:val="center"/>
          </w:tcPr>
          <w:p>
            <w:pPr>
              <w:adjustRightInd w:val="0"/>
              <w:snapToGrid w:val="0"/>
              <w:ind w:firstLine="0" w:firstLineChars="0"/>
              <w:jc w:val="center"/>
              <w:rPr>
                <w:rFonts w:hint="eastAsia" w:ascii="Times New Roman" w:hAnsi="Times New Roman" w:cs="Times New Roman"/>
                <w:b/>
                <w:sz w:val="21"/>
                <w:szCs w:val="21"/>
              </w:rPr>
            </w:pPr>
            <w:r>
              <w:rPr>
                <w:rFonts w:hint="eastAsia" w:ascii="Times New Roman" w:hAnsi="Times New Roman" w:cs="Times New Roman"/>
                <w:b/>
                <w:sz w:val="21"/>
                <w:szCs w:val="21"/>
              </w:rPr>
              <w:t>汽车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8" w:hRule="atLeast"/>
          <w:jc w:val="center"/>
        </w:trPr>
        <w:tc>
          <w:tcPr>
            <w:tcW w:w="1422" w:type="pct"/>
            <w:noWrap w:val="0"/>
            <w:vAlign w:val="center"/>
          </w:tcPr>
          <w:p>
            <w:pPr>
              <w:adjustRightInd w:val="0"/>
              <w:snapToGrid w:val="0"/>
              <w:ind w:firstLine="0" w:firstLineChars="0"/>
              <w:jc w:val="center"/>
              <w:rPr>
                <w:rFonts w:hint="eastAsia" w:ascii="Times New Roman" w:hAnsi="Times New Roman" w:cs="Times New Roman"/>
                <w:b/>
                <w:sz w:val="21"/>
                <w:szCs w:val="21"/>
              </w:rPr>
            </w:pPr>
            <w:r>
              <w:rPr>
                <w:rFonts w:hint="eastAsia" w:ascii="Times New Roman" w:hAnsi="Times New Roman" w:cs="Times New Roman"/>
                <w:b/>
                <w:sz w:val="21"/>
                <w:szCs w:val="21"/>
              </w:rPr>
              <w:t>边板支点反力</w:t>
            </w:r>
          </w:p>
        </w:tc>
        <w:tc>
          <w:tcPr>
            <w:tcW w:w="1126" w:type="pct"/>
            <w:noWrap w:val="0"/>
            <w:vAlign w:val="center"/>
          </w:tcPr>
          <w:p>
            <w:pPr>
              <w:adjustRightInd w:val="0"/>
              <w:snapToGrid w:val="0"/>
              <w:ind w:firstLine="0" w:firstLineChars="0"/>
              <w:jc w:val="center"/>
              <w:rPr>
                <w:rFonts w:hint="eastAsia" w:ascii="Times New Roman" w:hAnsi="Times New Roman" w:cs="Times New Roman"/>
                <w:b w:val="0"/>
                <w:bCs/>
                <w:sz w:val="21"/>
                <w:szCs w:val="21"/>
              </w:rPr>
            </w:pPr>
            <w:r>
              <w:rPr>
                <w:rFonts w:hint="eastAsia" w:ascii="Times New Roman" w:hAnsi="Times New Roman" w:cs="Times New Roman"/>
                <w:b w:val="0"/>
                <w:bCs/>
                <w:sz w:val="21"/>
                <w:szCs w:val="21"/>
              </w:rPr>
              <w:t>270</w:t>
            </w:r>
          </w:p>
        </w:tc>
        <w:tc>
          <w:tcPr>
            <w:tcW w:w="1128" w:type="pct"/>
            <w:noWrap w:val="0"/>
            <w:vAlign w:val="center"/>
          </w:tcPr>
          <w:p>
            <w:pPr>
              <w:adjustRightInd w:val="0"/>
              <w:snapToGrid w:val="0"/>
              <w:ind w:firstLine="0" w:firstLineChars="0"/>
              <w:jc w:val="center"/>
              <w:rPr>
                <w:rFonts w:hint="eastAsia" w:ascii="Times New Roman" w:hAnsi="Times New Roman" w:cs="Times New Roman"/>
                <w:b w:val="0"/>
                <w:bCs/>
                <w:sz w:val="21"/>
                <w:szCs w:val="21"/>
              </w:rPr>
            </w:pPr>
            <w:r>
              <w:rPr>
                <w:rFonts w:hint="eastAsia" w:ascii="Times New Roman" w:hAnsi="Times New Roman" w:cs="Times New Roman"/>
                <w:b w:val="0"/>
                <w:bCs/>
                <w:sz w:val="21"/>
                <w:szCs w:val="21"/>
              </w:rPr>
              <w:t>481</w:t>
            </w:r>
          </w:p>
        </w:tc>
        <w:tc>
          <w:tcPr>
            <w:tcW w:w="1324" w:type="pct"/>
            <w:noWrap w:val="0"/>
            <w:vAlign w:val="center"/>
          </w:tcPr>
          <w:p>
            <w:pPr>
              <w:adjustRightInd w:val="0"/>
              <w:snapToGrid w:val="0"/>
              <w:ind w:firstLine="0" w:firstLineChars="0"/>
              <w:jc w:val="center"/>
              <w:rPr>
                <w:rFonts w:hint="eastAsia" w:ascii="Times New Roman" w:hAnsi="Times New Roman" w:cs="Times New Roman"/>
                <w:b w:val="0"/>
                <w:bCs/>
                <w:sz w:val="21"/>
                <w:szCs w:val="21"/>
              </w:rPr>
            </w:pPr>
            <w:r>
              <w:rPr>
                <w:rFonts w:hint="eastAsia" w:ascii="Times New Roman" w:hAnsi="Times New Roman" w:cs="Times New Roman"/>
                <w:b w:val="0"/>
                <w:bCs/>
                <w:sz w:val="21"/>
                <w:szCs w:val="21"/>
              </w:rPr>
              <w:t>0.00069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8" w:hRule="atLeast"/>
          <w:jc w:val="center"/>
        </w:trPr>
        <w:tc>
          <w:tcPr>
            <w:tcW w:w="1422" w:type="pct"/>
            <w:noWrap w:val="0"/>
            <w:vAlign w:val="center"/>
          </w:tcPr>
          <w:p>
            <w:pPr>
              <w:adjustRightInd w:val="0"/>
              <w:snapToGrid w:val="0"/>
              <w:ind w:firstLine="0" w:firstLineChars="0"/>
              <w:jc w:val="center"/>
              <w:rPr>
                <w:rFonts w:hint="eastAsia" w:ascii="Times New Roman" w:hAnsi="Times New Roman" w:cs="Times New Roman"/>
                <w:b/>
                <w:sz w:val="21"/>
                <w:szCs w:val="21"/>
              </w:rPr>
            </w:pPr>
            <w:r>
              <w:rPr>
                <w:rFonts w:hint="eastAsia" w:ascii="Times New Roman" w:hAnsi="Times New Roman" w:cs="Times New Roman"/>
                <w:b/>
                <w:sz w:val="21"/>
                <w:szCs w:val="21"/>
              </w:rPr>
              <w:t>中板支点反力</w:t>
            </w:r>
          </w:p>
        </w:tc>
        <w:tc>
          <w:tcPr>
            <w:tcW w:w="1126" w:type="pct"/>
            <w:noWrap w:val="0"/>
            <w:vAlign w:val="center"/>
          </w:tcPr>
          <w:p>
            <w:pPr>
              <w:adjustRightInd w:val="0"/>
              <w:snapToGrid w:val="0"/>
              <w:ind w:firstLine="0" w:firstLineChars="0"/>
              <w:jc w:val="center"/>
              <w:rPr>
                <w:rFonts w:hint="eastAsia" w:ascii="Times New Roman" w:hAnsi="Times New Roman" w:cs="Times New Roman"/>
                <w:b w:val="0"/>
                <w:bCs/>
                <w:sz w:val="21"/>
                <w:szCs w:val="21"/>
              </w:rPr>
            </w:pPr>
            <w:r>
              <w:rPr>
                <w:rFonts w:hint="eastAsia" w:ascii="Times New Roman" w:hAnsi="Times New Roman" w:cs="Times New Roman"/>
                <w:b w:val="0"/>
                <w:bCs/>
                <w:sz w:val="21"/>
                <w:szCs w:val="21"/>
              </w:rPr>
              <w:t>209</w:t>
            </w:r>
          </w:p>
        </w:tc>
        <w:tc>
          <w:tcPr>
            <w:tcW w:w="1128" w:type="pct"/>
            <w:noWrap w:val="0"/>
            <w:vAlign w:val="center"/>
          </w:tcPr>
          <w:p>
            <w:pPr>
              <w:adjustRightInd w:val="0"/>
              <w:snapToGrid w:val="0"/>
              <w:ind w:firstLine="0" w:firstLineChars="0"/>
              <w:jc w:val="center"/>
              <w:rPr>
                <w:rFonts w:hint="eastAsia" w:ascii="Times New Roman" w:hAnsi="Times New Roman" w:cs="Times New Roman"/>
                <w:b w:val="0"/>
                <w:bCs/>
                <w:sz w:val="21"/>
                <w:szCs w:val="21"/>
              </w:rPr>
            </w:pPr>
            <w:r>
              <w:rPr>
                <w:rFonts w:hint="eastAsia" w:ascii="Times New Roman" w:hAnsi="Times New Roman" w:cs="Times New Roman"/>
                <w:b w:val="0"/>
                <w:bCs/>
                <w:sz w:val="21"/>
                <w:szCs w:val="21"/>
              </w:rPr>
              <w:t>367</w:t>
            </w:r>
          </w:p>
        </w:tc>
        <w:tc>
          <w:tcPr>
            <w:tcW w:w="1324" w:type="pct"/>
            <w:noWrap w:val="0"/>
            <w:vAlign w:val="center"/>
          </w:tcPr>
          <w:p>
            <w:pPr>
              <w:adjustRightInd w:val="0"/>
              <w:snapToGrid w:val="0"/>
              <w:ind w:firstLine="0" w:firstLineChars="0"/>
              <w:jc w:val="center"/>
              <w:rPr>
                <w:rFonts w:hint="eastAsia" w:ascii="Times New Roman" w:hAnsi="Times New Roman" w:cs="Times New Roman"/>
                <w:b w:val="0"/>
                <w:bCs/>
                <w:sz w:val="21"/>
                <w:szCs w:val="21"/>
              </w:rPr>
            </w:pPr>
            <w:r>
              <w:rPr>
                <w:rFonts w:hint="eastAsia" w:ascii="Times New Roman" w:hAnsi="Times New Roman" w:cs="Times New Roman"/>
                <w:b w:val="0"/>
                <w:bCs/>
                <w:sz w:val="21"/>
                <w:szCs w:val="21"/>
              </w:rPr>
              <w:t>0.00063</w:t>
            </w:r>
          </w:p>
        </w:tc>
      </w:tr>
    </w:tbl>
    <w:p>
      <w:pPr>
        <w:pStyle w:val="3"/>
        <w:bidi w:val="0"/>
        <w:rPr>
          <w:rFonts w:hint="default" w:ascii="宋体" w:hAnsi="宋体" w:eastAsia="宋体"/>
          <w:b/>
          <w:bCs/>
          <w:sz w:val="24"/>
          <w:szCs w:val="24"/>
          <w:lang w:val="en-US" w:eastAsia="zh-CN"/>
        </w:rPr>
      </w:pPr>
      <w:r>
        <w:rPr>
          <w:rFonts w:hint="eastAsia"/>
          <w:lang w:val="en-US" w:eastAsia="zh-CN"/>
        </w:rPr>
        <w:t>施工要点</w:t>
      </w:r>
      <w:r>
        <w:rPr>
          <w:rFonts w:hint="eastAsia" w:ascii="宋体" w:hAnsi="宋体"/>
          <w:b/>
          <w:bCs/>
          <w:sz w:val="24"/>
          <w:szCs w:val="24"/>
          <w:lang w:val="en-US" w:eastAsia="zh-CN"/>
        </w:rPr>
        <w:t xml:space="preserve">  </w:t>
      </w:r>
    </w:p>
    <w:p>
      <w:pPr>
        <w:bidi w:val="0"/>
        <w:rPr>
          <w:rFonts w:hint="default"/>
          <w:lang w:val="en-US" w:eastAsia="zh-CN"/>
        </w:rPr>
      </w:pPr>
      <w:r>
        <w:rPr>
          <w:rFonts w:hint="eastAsia"/>
        </w:rPr>
        <w:t>有关桥梁的施工工艺、材料要求及质量标准，除按《公路桥涵施工技术规范》（JTGT F50-2011）有关条文办理外，还应特别注意以下事项：</w:t>
      </w:r>
    </w:p>
    <w:p>
      <w:pPr>
        <w:pStyle w:val="4"/>
        <w:numPr>
          <w:ilvl w:val="0"/>
          <w:numId w:val="15"/>
        </w:numPr>
        <w:bidi w:val="0"/>
        <w:rPr>
          <w:rFonts w:hint="default"/>
          <w:lang w:val="en-US" w:eastAsia="zh-CN"/>
        </w:rPr>
      </w:pPr>
      <w:r>
        <w:rPr>
          <w:rFonts w:hint="eastAsia"/>
          <w:lang w:val="en-US" w:eastAsia="zh-CN"/>
        </w:rPr>
        <w:t>上部结构</w:t>
      </w:r>
    </w:p>
    <w:p>
      <w:pPr>
        <w:pStyle w:val="5"/>
        <w:numPr>
          <w:ilvl w:val="0"/>
          <w:numId w:val="16"/>
        </w:numPr>
        <w:bidi w:val="0"/>
        <w:rPr>
          <w:rFonts w:hint="eastAsia"/>
        </w:rPr>
      </w:pPr>
      <w:r>
        <w:rPr>
          <w:rFonts w:hint="eastAsia"/>
          <w:lang w:val="en-US" w:eastAsia="zh-CN"/>
        </w:rPr>
        <w:t>空心板</w:t>
      </w:r>
      <w:r>
        <w:rPr>
          <w:rFonts w:hint="eastAsia"/>
        </w:rPr>
        <w:t>预制</w:t>
      </w:r>
    </w:p>
    <w:p>
      <w:pPr>
        <w:bidi w:val="0"/>
        <w:rPr>
          <w:rFonts w:hint="eastAsia"/>
        </w:rPr>
      </w:pPr>
      <w:r>
        <w:rPr>
          <w:rFonts w:hint="eastAsia"/>
        </w:rPr>
        <w:t>1）整体式路基外边梁和分离式路基的两侧边板悬臂端部预留100mm暂不预制，待浇筑外包护栏时一起浇筑，但钢筋需照常伸出不得截断。</w:t>
      </w:r>
    </w:p>
    <w:p>
      <w:pPr>
        <w:bidi w:val="0"/>
        <w:rPr>
          <w:rFonts w:hint="eastAsia"/>
        </w:rPr>
      </w:pPr>
      <w:r>
        <w:rPr>
          <w:rFonts w:hint="eastAsia"/>
        </w:rPr>
        <w:t>2）施工时，应保证预应力钢绞线及普通钢筋位置的准确性，确保预应力钢筋保护层厚度满足要求。普通钢筋的绑扎工作，应在预应力钢筋张拉结束后8小时进行，以策安全。</w:t>
      </w:r>
    </w:p>
    <w:p>
      <w:pPr>
        <w:bidi w:val="0"/>
        <w:rPr>
          <w:rFonts w:hint="eastAsia"/>
        </w:rPr>
      </w:pPr>
      <w:r>
        <w:rPr>
          <w:rFonts w:hint="eastAsia"/>
        </w:rPr>
        <w:t>3）浇筑空心板混凝土前除注意按本册设计图纸预埋钢筋和预埋件外，桥面系、伸缩缝、护栏、支座及其它相关附属构造的预埋件，均应参照有关图纸施工，确定预埋件安装无误后方可浇筑预制空心板混凝土；护栏预埋钢筋必须预埋在预制空心板顶板内；支座处板底混凝土楔形块应与预制空心板混凝土同时浇筑。</w:t>
      </w:r>
    </w:p>
    <w:p>
      <w:pPr>
        <w:bidi w:val="0"/>
        <w:rPr>
          <w:rFonts w:hint="eastAsia"/>
        </w:rPr>
      </w:pPr>
      <w:r>
        <w:rPr>
          <w:rFonts w:hint="eastAsia"/>
        </w:rPr>
        <w:t>4）预制板顶、底板及腹板较薄，施工单位应选用合适的骨料粒径并做好配合比试验；应严格控制混凝土的振捣及养生，确保混凝土的质量。</w:t>
      </w:r>
    </w:p>
    <w:p>
      <w:pPr>
        <w:bidi w:val="0"/>
        <w:rPr>
          <w:rFonts w:hint="eastAsia"/>
        </w:rPr>
      </w:pPr>
      <w:r>
        <w:rPr>
          <w:rFonts w:hint="eastAsia"/>
        </w:rPr>
        <w:t>5）为了防止预制板上拱过大，及预制板与整体化层由于龄期差别而产生过大收缩差，存梁期不宜超过90d，若累计上拱值超过计算值10mm，应采取控制措施。不同存梁期上拱值（计算值）见下表(表中各位移以向上为正，反之为负),施工单位可根据工地的具体情况（如存梁期、混凝土配合比、材料特性及地区气候等）以及经验设置反拱。反拱值的设计原则是使梁体在二期恒载施加前上拱度不超过10mm，桥梁施工完成后桥梁不出现下挠。</w:t>
      </w:r>
    </w:p>
    <w:p>
      <w:pPr>
        <w:bidi w:val="0"/>
        <w:ind w:firstLine="2891" w:firstLineChars="1200"/>
        <w:rPr>
          <w:rFonts w:hint="eastAsia" w:ascii="宋体" w:hAnsi="宋体" w:eastAsia="宋体" w:cs="宋体"/>
          <w:sz w:val="24"/>
          <w:szCs w:val="24"/>
        </w:rPr>
      </w:pPr>
      <w:r>
        <w:rPr>
          <w:rFonts w:hint="eastAsia" w:ascii="宋体" w:hAnsi="宋体" w:eastAsia="宋体" w:cs="宋体"/>
          <w:b/>
          <w:bCs/>
          <w:sz w:val="24"/>
          <w:szCs w:val="24"/>
        </w:rPr>
        <w:t>存梁期上拱值及反预拱值设置表</w:t>
      </w:r>
      <w:r>
        <w:rPr>
          <w:rFonts w:hint="eastAsia" w:ascii="宋体" w:hAnsi="宋体" w:eastAsia="宋体" w:cs="宋体"/>
          <w:sz w:val="24"/>
          <w:szCs w:val="24"/>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单位：mm</w:t>
      </w:r>
    </w:p>
    <w:tbl>
      <w:tblPr>
        <w:tblStyle w:val="10"/>
        <w:tblW w:w="9211"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108" w:type="dxa"/>
          <w:bottom w:w="0" w:type="dxa"/>
          <w:right w:w="108" w:type="dxa"/>
        </w:tblCellMar>
      </w:tblPr>
      <w:tblGrid>
        <w:gridCol w:w="1995"/>
        <w:gridCol w:w="1260"/>
        <w:gridCol w:w="1155"/>
        <w:gridCol w:w="1155"/>
        <w:gridCol w:w="1126"/>
        <w:gridCol w:w="1137"/>
        <w:gridCol w:w="1383"/>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88" w:hRule="atLeast"/>
          <w:jc w:val="center"/>
        </w:trPr>
        <w:tc>
          <w:tcPr>
            <w:tcW w:w="1995" w:type="dxa"/>
            <w:vMerge w:val="restart"/>
            <w:shd w:val="clear" w:color="auto" w:fill="auto"/>
            <w:noWrap w:val="0"/>
            <w:vAlign w:val="center"/>
          </w:tcPr>
          <w:p>
            <w:pPr>
              <w:adjustRightInd w:val="0"/>
              <w:snapToGrid w:val="0"/>
              <w:ind w:firstLine="0" w:firstLineChars="0"/>
              <w:jc w:val="center"/>
              <w:rPr>
                <w:rFonts w:hint="eastAsia" w:ascii="Times New Roman" w:hAnsi="Times New Roman" w:cs="Times New Roman"/>
                <w:b/>
                <w:sz w:val="21"/>
                <w:szCs w:val="21"/>
              </w:rPr>
            </w:pPr>
            <w:r>
              <w:rPr>
                <w:rFonts w:hint="eastAsia" w:ascii="Times New Roman" w:hAnsi="Times New Roman" w:cs="Times New Roman"/>
                <w:b/>
                <w:sz w:val="21"/>
                <w:szCs w:val="21"/>
              </w:rPr>
              <w:t>梁位</w:t>
            </w:r>
          </w:p>
        </w:tc>
        <w:tc>
          <w:tcPr>
            <w:tcW w:w="4696" w:type="dxa"/>
            <w:gridSpan w:val="4"/>
            <w:shd w:val="clear" w:color="auto" w:fill="auto"/>
            <w:noWrap w:val="0"/>
            <w:vAlign w:val="center"/>
          </w:tcPr>
          <w:p>
            <w:pPr>
              <w:adjustRightInd w:val="0"/>
              <w:snapToGrid w:val="0"/>
              <w:ind w:firstLine="0" w:firstLineChars="0"/>
              <w:jc w:val="center"/>
              <w:rPr>
                <w:rFonts w:hint="eastAsia" w:ascii="Times New Roman" w:hAnsi="Times New Roman" w:cs="Times New Roman"/>
                <w:b/>
                <w:sz w:val="21"/>
                <w:szCs w:val="21"/>
              </w:rPr>
            </w:pPr>
            <w:r>
              <w:rPr>
                <w:rFonts w:hint="eastAsia" w:ascii="Times New Roman" w:hAnsi="Times New Roman" w:cs="Times New Roman"/>
                <w:b/>
                <w:sz w:val="21"/>
                <w:szCs w:val="21"/>
              </w:rPr>
              <w:t>预制板上拱值（理论值）</w:t>
            </w:r>
          </w:p>
        </w:tc>
        <w:tc>
          <w:tcPr>
            <w:tcW w:w="1137" w:type="dxa"/>
            <w:vMerge w:val="restart"/>
            <w:shd w:val="clear" w:color="auto" w:fill="auto"/>
            <w:noWrap w:val="0"/>
            <w:vAlign w:val="center"/>
          </w:tcPr>
          <w:p>
            <w:pPr>
              <w:adjustRightInd w:val="0"/>
              <w:snapToGrid w:val="0"/>
              <w:ind w:firstLine="0" w:firstLineChars="0"/>
              <w:jc w:val="center"/>
              <w:rPr>
                <w:rFonts w:hint="eastAsia" w:ascii="Times New Roman" w:hAnsi="Times New Roman" w:cs="Times New Roman"/>
                <w:b/>
                <w:sz w:val="21"/>
                <w:szCs w:val="21"/>
              </w:rPr>
            </w:pPr>
            <w:r>
              <w:rPr>
                <w:rFonts w:hint="eastAsia" w:ascii="Times New Roman" w:hAnsi="Times New Roman" w:cs="Times New Roman"/>
                <w:b/>
                <w:sz w:val="21"/>
                <w:szCs w:val="21"/>
              </w:rPr>
              <w:t>二期恒</w:t>
            </w:r>
            <w:r>
              <w:rPr>
                <w:rFonts w:hint="eastAsia" w:ascii="Times New Roman" w:hAnsi="Times New Roman" w:cs="Times New Roman"/>
                <w:b/>
                <w:sz w:val="21"/>
                <w:szCs w:val="21"/>
              </w:rPr>
              <w:br w:type="textWrapping"/>
            </w:r>
            <w:r>
              <w:rPr>
                <w:rFonts w:hint="eastAsia" w:ascii="Times New Roman" w:hAnsi="Times New Roman" w:cs="Times New Roman"/>
                <w:b/>
                <w:sz w:val="21"/>
                <w:szCs w:val="21"/>
              </w:rPr>
              <w:t>载挠度</w:t>
            </w:r>
          </w:p>
        </w:tc>
        <w:tc>
          <w:tcPr>
            <w:tcW w:w="1383" w:type="dxa"/>
            <w:vMerge w:val="restart"/>
            <w:shd w:val="clear" w:color="auto" w:fill="auto"/>
            <w:noWrap w:val="0"/>
            <w:vAlign w:val="center"/>
          </w:tcPr>
          <w:p>
            <w:pPr>
              <w:adjustRightInd w:val="0"/>
              <w:snapToGrid w:val="0"/>
              <w:ind w:firstLine="0" w:firstLineChars="0"/>
              <w:jc w:val="center"/>
              <w:rPr>
                <w:rFonts w:hint="eastAsia" w:ascii="Times New Roman" w:hAnsi="Times New Roman" w:cs="Times New Roman"/>
                <w:b/>
                <w:sz w:val="21"/>
                <w:szCs w:val="21"/>
              </w:rPr>
            </w:pPr>
            <w:r>
              <w:rPr>
                <w:rFonts w:hint="eastAsia" w:ascii="Times New Roman" w:hAnsi="Times New Roman" w:cs="Times New Roman"/>
                <w:b/>
                <w:sz w:val="21"/>
                <w:szCs w:val="21"/>
              </w:rPr>
              <w:t>反预拱度</w:t>
            </w:r>
            <w:r>
              <w:rPr>
                <w:rFonts w:hint="eastAsia" w:ascii="Times New Roman" w:hAnsi="Times New Roman" w:cs="Times New Roman"/>
                <w:b/>
                <w:sz w:val="21"/>
                <w:szCs w:val="21"/>
              </w:rPr>
              <w:br w:type="textWrapping"/>
            </w:r>
            <w:r>
              <w:rPr>
                <w:rFonts w:hint="eastAsia" w:ascii="Times New Roman" w:hAnsi="Times New Roman" w:cs="Times New Roman"/>
                <w:b/>
                <w:sz w:val="21"/>
                <w:szCs w:val="21"/>
              </w:rPr>
              <w:t>建议值</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88" w:hRule="atLeast"/>
          <w:jc w:val="center"/>
        </w:trPr>
        <w:tc>
          <w:tcPr>
            <w:tcW w:w="1995" w:type="dxa"/>
            <w:vMerge w:val="continue"/>
            <w:shd w:val="clear" w:color="auto" w:fill="auto"/>
            <w:noWrap w:val="0"/>
            <w:vAlign w:val="center"/>
          </w:tcPr>
          <w:p>
            <w:pPr>
              <w:adjustRightInd w:val="0"/>
              <w:snapToGrid w:val="0"/>
              <w:ind w:firstLine="0" w:firstLineChars="0"/>
              <w:jc w:val="center"/>
              <w:rPr>
                <w:rFonts w:hint="eastAsia" w:ascii="Times New Roman" w:hAnsi="Times New Roman" w:cs="Times New Roman"/>
                <w:b/>
                <w:sz w:val="21"/>
                <w:szCs w:val="21"/>
              </w:rPr>
            </w:pPr>
          </w:p>
        </w:tc>
        <w:tc>
          <w:tcPr>
            <w:tcW w:w="1260" w:type="dxa"/>
            <w:shd w:val="clear" w:color="auto" w:fill="auto"/>
            <w:noWrap w:val="0"/>
            <w:vAlign w:val="center"/>
          </w:tcPr>
          <w:p>
            <w:pPr>
              <w:adjustRightInd w:val="0"/>
              <w:snapToGrid w:val="0"/>
              <w:ind w:firstLine="0" w:firstLineChars="0"/>
              <w:jc w:val="center"/>
              <w:rPr>
                <w:rFonts w:hint="eastAsia" w:ascii="Times New Roman" w:hAnsi="Times New Roman" w:cs="Times New Roman"/>
                <w:b/>
                <w:sz w:val="21"/>
                <w:szCs w:val="21"/>
              </w:rPr>
            </w:pPr>
            <w:r>
              <w:rPr>
                <w:rFonts w:hint="eastAsia" w:ascii="Times New Roman" w:hAnsi="Times New Roman" w:cs="Times New Roman"/>
                <w:b/>
                <w:sz w:val="21"/>
                <w:szCs w:val="21"/>
              </w:rPr>
              <w:t>钢束张拉时</w:t>
            </w:r>
          </w:p>
        </w:tc>
        <w:tc>
          <w:tcPr>
            <w:tcW w:w="1155" w:type="dxa"/>
            <w:shd w:val="clear" w:color="auto" w:fill="auto"/>
            <w:noWrap w:val="0"/>
            <w:vAlign w:val="center"/>
          </w:tcPr>
          <w:p>
            <w:pPr>
              <w:adjustRightInd w:val="0"/>
              <w:snapToGrid w:val="0"/>
              <w:ind w:firstLine="0" w:firstLineChars="0"/>
              <w:jc w:val="center"/>
              <w:rPr>
                <w:rFonts w:hint="eastAsia" w:ascii="Times New Roman" w:hAnsi="Times New Roman" w:cs="Times New Roman"/>
                <w:b/>
                <w:sz w:val="21"/>
                <w:szCs w:val="21"/>
              </w:rPr>
            </w:pPr>
            <w:r>
              <w:rPr>
                <w:rFonts w:hint="eastAsia" w:ascii="Times New Roman" w:hAnsi="Times New Roman" w:cs="Times New Roman"/>
                <w:b/>
                <w:sz w:val="21"/>
                <w:szCs w:val="21"/>
              </w:rPr>
              <w:t>存梁30d</w:t>
            </w:r>
          </w:p>
        </w:tc>
        <w:tc>
          <w:tcPr>
            <w:tcW w:w="1155" w:type="dxa"/>
            <w:shd w:val="clear" w:color="auto" w:fill="auto"/>
            <w:noWrap w:val="0"/>
            <w:vAlign w:val="center"/>
          </w:tcPr>
          <w:p>
            <w:pPr>
              <w:adjustRightInd w:val="0"/>
              <w:snapToGrid w:val="0"/>
              <w:ind w:firstLine="0" w:firstLineChars="0"/>
              <w:jc w:val="center"/>
              <w:rPr>
                <w:rFonts w:hint="eastAsia" w:ascii="Times New Roman" w:hAnsi="Times New Roman" w:cs="Times New Roman"/>
                <w:b/>
                <w:sz w:val="21"/>
                <w:szCs w:val="21"/>
              </w:rPr>
            </w:pPr>
            <w:r>
              <w:rPr>
                <w:rFonts w:hint="eastAsia" w:ascii="Times New Roman" w:hAnsi="Times New Roman" w:cs="Times New Roman"/>
                <w:b/>
                <w:sz w:val="21"/>
                <w:szCs w:val="21"/>
              </w:rPr>
              <w:t>存梁60d</w:t>
            </w:r>
          </w:p>
        </w:tc>
        <w:tc>
          <w:tcPr>
            <w:tcW w:w="1126" w:type="dxa"/>
            <w:shd w:val="clear" w:color="auto" w:fill="auto"/>
            <w:noWrap w:val="0"/>
            <w:vAlign w:val="center"/>
          </w:tcPr>
          <w:p>
            <w:pPr>
              <w:adjustRightInd w:val="0"/>
              <w:snapToGrid w:val="0"/>
              <w:ind w:firstLine="0" w:firstLineChars="0"/>
              <w:jc w:val="center"/>
              <w:rPr>
                <w:rFonts w:hint="eastAsia" w:ascii="Times New Roman" w:hAnsi="Times New Roman" w:cs="Times New Roman"/>
                <w:b/>
                <w:sz w:val="21"/>
                <w:szCs w:val="21"/>
              </w:rPr>
            </w:pPr>
            <w:r>
              <w:rPr>
                <w:rFonts w:hint="eastAsia" w:ascii="Times New Roman" w:hAnsi="Times New Roman" w:cs="Times New Roman"/>
                <w:b/>
                <w:sz w:val="21"/>
                <w:szCs w:val="21"/>
              </w:rPr>
              <w:t>存梁90d</w:t>
            </w:r>
          </w:p>
        </w:tc>
        <w:tc>
          <w:tcPr>
            <w:tcW w:w="1137" w:type="dxa"/>
            <w:vMerge w:val="continue"/>
            <w:shd w:val="clear" w:color="auto" w:fill="auto"/>
            <w:noWrap w:val="0"/>
            <w:vAlign w:val="center"/>
          </w:tcPr>
          <w:p>
            <w:pPr>
              <w:adjustRightInd w:val="0"/>
              <w:snapToGrid w:val="0"/>
              <w:ind w:firstLine="0" w:firstLineChars="0"/>
              <w:jc w:val="center"/>
              <w:rPr>
                <w:rFonts w:hint="eastAsia" w:ascii="Times New Roman" w:hAnsi="Times New Roman" w:cs="Times New Roman"/>
                <w:b/>
                <w:sz w:val="21"/>
                <w:szCs w:val="21"/>
              </w:rPr>
            </w:pPr>
          </w:p>
        </w:tc>
        <w:tc>
          <w:tcPr>
            <w:tcW w:w="1383" w:type="dxa"/>
            <w:vMerge w:val="continue"/>
            <w:shd w:val="clear" w:color="auto" w:fill="auto"/>
            <w:noWrap w:val="0"/>
            <w:vAlign w:val="center"/>
          </w:tcPr>
          <w:p>
            <w:pPr>
              <w:adjustRightInd w:val="0"/>
              <w:snapToGrid w:val="0"/>
              <w:ind w:firstLine="0" w:firstLineChars="0"/>
              <w:jc w:val="center"/>
              <w:rPr>
                <w:rFonts w:hint="eastAsia" w:ascii="Times New Roman" w:hAnsi="Times New Roman" w:cs="Times New Roman"/>
                <w:b/>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75" w:hRule="atLeast"/>
          <w:jc w:val="center"/>
        </w:trPr>
        <w:tc>
          <w:tcPr>
            <w:tcW w:w="1995" w:type="dxa"/>
            <w:shd w:val="clear" w:color="auto" w:fill="auto"/>
            <w:noWrap w:val="0"/>
            <w:vAlign w:val="center"/>
          </w:tcPr>
          <w:p>
            <w:pPr>
              <w:adjustRightInd w:val="0"/>
              <w:snapToGrid w:val="0"/>
              <w:ind w:firstLine="0" w:firstLineChars="0"/>
              <w:jc w:val="center"/>
              <w:rPr>
                <w:rFonts w:hint="eastAsia" w:ascii="Times New Roman" w:hAnsi="Times New Roman" w:cs="Times New Roman"/>
                <w:b/>
                <w:sz w:val="21"/>
                <w:szCs w:val="21"/>
              </w:rPr>
            </w:pPr>
            <w:bookmarkStart w:id="12" w:name="OLE_LINK3" w:colFirst="1" w:colLast="68"/>
            <w:bookmarkStart w:id="13" w:name="_Hlk352684621"/>
            <w:bookmarkStart w:id="14" w:name="OLE_LINK4" w:colFirst="1" w:colLast="68"/>
            <w:r>
              <w:rPr>
                <w:rFonts w:hint="eastAsia" w:ascii="Times New Roman" w:hAnsi="Times New Roman" w:cs="Times New Roman"/>
                <w:b/>
                <w:sz w:val="21"/>
                <w:szCs w:val="21"/>
              </w:rPr>
              <w:t>边板</w:t>
            </w:r>
          </w:p>
        </w:tc>
        <w:tc>
          <w:tcPr>
            <w:tcW w:w="1260" w:type="dxa"/>
            <w:shd w:val="clear" w:color="auto" w:fill="auto"/>
            <w:noWrap w:val="0"/>
            <w:vAlign w:val="center"/>
          </w:tcPr>
          <w:p>
            <w:pPr>
              <w:adjustRightInd w:val="0"/>
              <w:snapToGrid w:val="0"/>
              <w:ind w:firstLine="0" w:firstLineChars="0"/>
              <w:jc w:val="center"/>
              <w:rPr>
                <w:rFonts w:hint="eastAsia" w:ascii="Times New Roman" w:hAnsi="Times New Roman" w:cs="Times New Roman"/>
                <w:b w:val="0"/>
                <w:bCs/>
                <w:sz w:val="21"/>
                <w:szCs w:val="21"/>
              </w:rPr>
            </w:pPr>
            <w:r>
              <w:rPr>
                <w:rFonts w:hint="eastAsia" w:ascii="Times New Roman" w:hAnsi="Times New Roman" w:cs="Times New Roman"/>
                <w:b w:val="0"/>
                <w:bCs/>
                <w:sz w:val="21"/>
                <w:szCs w:val="21"/>
              </w:rPr>
              <w:t>6.2</w:t>
            </w:r>
          </w:p>
        </w:tc>
        <w:tc>
          <w:tcPr>
            <w:tcW w:w="1155" w:type="dxa"/>
            <w:shd w:val="clear" w:color="auto" w:fill="auto"/>
            <w:noWrap w:val="0"/>
            <w:vAlign w:val="center"/>
          </w:tcPr>
          <w:p>
            <w:pPr>
              <w:adjustRightInd w:val="0"/>
              <w:snapToGrid w:val="0"/>
              <w:ind w:firstLine="0" w:firstLineChars="0"/>
              <w:jc w:val="center"/>
              <w:rPr>
                <w:rFonts w:hint="eastAsia" w:ascii="Times New Roman" w:hAnsi="Times New Roman" w:cs="Times New Roman"/>
                <w:b w:val="0"/>
                <w:bCs/>
                <w:sz w:val="21"/>
                <w:szCs w:val="21"/>
              </w:rPr>
            </w:pPr>
            <w:r>
              <w:rPr>
                <w:rFonts w:hint="eastAsia" w:ascii="Times New Roman" w:hAnsi="Times New Roman" w:cs="Times New Roman"/>
                <w:b w:val="0"/>
                <w:bCs/>
                <w:sz w:val="21"/>
                <w:szCs w:val="21"/>
              </w:rPr>
              <w:t>15.8</w:t>
            </w:r>
          </w:p>
        </w:tc>
        <w:tc>
          <w:tcPr>
            <w:tcW w:w="1155" w:type="dxa"/>
            <w:shd w:val="clear" w:color="auto" w:fill="auto"/>
            <w:noWrap w:val="0"/>
            <w:vAlign w:val="center"/>
          </w:tcPr>
          <w:p>
            <w:pPr>
              <w:adjustRightInd w:val="0"/>
              <w:snapToGrid w:val="0"/>
              <w:ind w:firstLine="0" w:firstLineChars="0"/>
              <w:jc w:val="center"/>
              <w:rPr>
                <w:rFonts w:hint="eastAsia" w:ascii="Times New Roman" w:hAnsi="Times New Roman" w:cs="Times New Roman"/>
                <w:b w:val="0"/>
                <w:bCs/>
                <w:sz w:val="21"/>
                <w:szCs w:val="21"/>
              </w:rPr>
            </w:pPr>
            <w:r>
              <w:rPr>
                <w:rFonts w:hint="eastAsia" w:ascii="Times New Roman" w:hAnsi="Times New Roman" w:cs="Times New Roman"/>
                <w:b w:val="0"/>
                <w:bCs/>
                <w:sz w:val="21"/>
                <w:szCs w:val="21"/>
              </w:rPr>
              <w:t>17.9</w:t>
            </w:r>
          </w:p>
        </w:tc>
        <w:tc>
          <w:tcPr>
            <w:tcW w:w="1126" w:type="dxa"/>
            <w:shd w:val="clear" w:color="auto" w:fill="auto"/>
            <w:noWrap w:val="0"/>
            <w:vAlign w:val="center"/>
          </w:tcPr>
          <w:p>
            <w:pPr>
              <w:adjustRightInd w:val="0"/>
              <w:snapToGrid w:val="0"/>
              <w:ind w:firstLine="0" w:firstLineChars="0"/>
              <w:jc w:val="center"/>
              <w:rPr>
                <w:rFonts w:hint="eastAsia" w:ascii="Times New Roman" w:hAnsi="Times New Roman" w:cs="Times New Roman"/>
                <w:b w:val="0"/>
                <w:bCs/>
                <w:sz w:val="21"/>
                <w:szCs w:val="21"/>
              </w:rPr>
            </w:pPr>
            <w:r>
              <w:rPr>
                <w:rFonts w:hint="eastAsia" w:ascii="Times New Roman" w:hAnsi="Times New Roman" w:cs="Times New Roman"/>
                <w:b w:val="0"/>
                <w:bCs/>
                <w:sz w:val="21"/>
                <w:szCs w:val="21"/>
              </w:rPr>
              <w:t>19.1</w:t>
            </w:r>
          </w:p>
        </w:tc>
        <w:tc>
          <w:tcPr>
            <w:tcW w:w="1137" w:type="dxa"/>
            <w:shd w:val="clear" w:color="auto" w:fill="auto"/>
            <w:noWrap w:val="0"/>
            <w:vAlign w:val="center"/>
          </w:tcPr>
          <w:p>
            <w:pPr>
              <w:adjustRightInd w:val="0"/>
              <w:snapToGrid w:val="0"/>
              <w:ind w:firstLine="0" w:firstLineChars="0"/>
              <w:jc w:val="center"/>
              <w:rPr>
                <w:rFonts w:hint="eastAsia" w:ascii="Times New Roman" w:hAnsi="Times New Roman" w:cs="Times New Roman"/>
                <w:b w:val="0"/>
                <w:bCs/>
                <w:sz w:val="21"/>
                <w:szCs w:val="21"/>
              </w:rPr>
            </w:pPr>
            <w:r>
              <w:rPr>
                <w:rFonts w:hint="eastAsia" w:ascii="Times New Roman" w:hAnsi="Times New Roman" w:cs="Times New Roman"/>
                <w:b w:val="0"/>
                <w:bCs/>
                <w:sz w:val="21"/>
                <w:szCs w:val="21"/>
              </w:rPr>
              <w:t>-3.6</w:t>
            </w:r>
          </w:p>
        </w:tc>
        <w:tc>
          <w:tcPr>
            <w:tcW w:w="1383" w:type="dxa"/>
            <w:vMerge w:val="restart"/>
            <w:shd w:val="clear" w:color="auto" w:fill="auto"/>
            <w:noWrap w:val="0"/>
            <w:vAlign w:val="center"/>
          </w:tcPr>
          <w:p>
            <w:pPr>
              <w:adjustRightInd w:val="0"/>
              <w:snapToGrid w:val="0"/>
              <w:ind w:firstLine="0" w:firstLineChars="0"/>
              <w:jc w:val="center"/>
              <w:rPr>
                <w:rFonts w:hint="eastAsia" w:ascii="Times New Roman" w:hAnsi="Times New Roman" w:cs="Times New Roman"/>
                <w:b/>
                <w:sz w:val="21"/>
                <w:szCs w:val="21"/>
              </w:rPr>
            </w:pPr>
            <w:r>
              <w:rPr>
                <w:rFonts w:hint="eastAsia" w:ascii="Times New Roman" w:hAnsi="Times New Roman" w:cs="Times New Roman"/>
                <w:b/>
                <w:sz w:val="21"/>
                <w:szCs w:val="21"/>
              </w:rPr>
              <w:t>可不设反预拱度</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11" w:hRule="atLeast"/>
          <w:jc w:val="center"/>
        </w:trPr>
        <w:tc>
          <w:tcPr>
            <w:tcW w:w="1995" w:type="dxa"/>
            <w:shd w:val="clear" w:color="auto" w:fill="auto"/>
            <w:noWrap w:val="0"/>
            <w:vAlign w:val="center"/>
          </w:tcPr>
          <w:p>
            <w:pPr>
              <w:adjustRightInd w:val="0"/>
              <w:snapToGrid w:val="0"/>
              <w:ind w:firstLine="0" w:firstLineChars="0"/>
              <w:jc w:val="center"/>
              <w:rPr>
                <w:rFonts w:hint="eastAsia" w:ascii="Times New Roman" w:hAnsi="Times New Roman" w:cs="Times New Roman"/>
                <w:b/>
                <w:sz w:val="21"/>
                <w:szCs w:val="21"/>
              </w:rPr>
            </w:pPr>
            <w:r>
              <w:rPr>
                <w:rFonts w:hint="eastAsia" w:ascii="Times New Roman" w:hAnsi="Times New Roman" w:cs="Times New Roman"/>
                <w:b/>
                <w:sz w:val="21"/>
                <w:szCs w:val="21"/>
              </w:rPr>
              <w:t>中板</w:t>
            </w:r>
          </w:p>
        </w:tc>
        <w:tc>
          <w:tcPr>
            <w:tcW w:w="1260" w:type="dxa"/>
            <w:shd w:val="clear" w:color="auto" w:fill="auto"/>
            <w:noWrap w:val="0"/>
            <w:vAlign w:val="center"/>
          </w:tcPr>
          <w:p>
            <w:pPr>
              <w:adjustRightInd w:val="0"/>
              <w:snapToGrid w:val="0"/>
              <w:ind w:firstLine="0" w:firstLineChars="0"/>
              <w:jc w:val="center"/>
              <w:rPr>
                <w:rFonts w:hint="eastAsia" w:ascii="Times New Roman" w:hAnsi="Times New Roman" w:cs="Times New Roman"/>
                <w:b w:val="0"/>
                <w:bCs/>
                <w:sz w:val="21"/>
                <w:szCs w:val="21"/>
              </w:rPr>
            </w:pPr>
            <w:r>
              <w:rPr>
                <w:rFonts w:hint="eastAsia" w:ascii="Times New Roman" w:hAnsi="Times New Roman" w:cs="Times New Roman"/>
                <w:b w:val="0"/>
                <w:bCs/>
                <w:sz w:val="21"/>
                <w:szCs w:val="21"/>
              </w:rPr>
              <w:t>6.0</w:t>
            </w:r>
          </w:p>
        </w:tc>
        <w:tc>
          <w:tcPr>
            <w:tcW w:w="1155" w:type="dxa"/>
            <w:shd w:val="clear" w:color="auto" w:fill="auto"/>
            <w:noWrap w:val="0"/>
            <w:vAlign w:val="center"/>
          </w:tcPr>
          <w:p>
            <w:pPr>
              <w:adjustRightInd w:val="0"/>
              <w:snapToGrid w:val="0"/>
              <w:ind w:firstLine="0" w:firstLineChars="0"/>
              <w:jc w:val="center"/>
              <w:rPr>
                <w:rFonts w:hint="eastAsia" w:ascii="Times New Roman" w:hAnsi="Times New Roman" w:cs="Times New Roman"/>
                <w:b w:val="0"/>
                <w:bCs/>
                <w:sz w:val="21"/>
                <w:szCs w:val="21"/>
              </w:rPr>
            </w:pPr>
            <w:r>
              <w:rPr>
                <w:rFonts w:hint="eastAsia" w:ascii="Times New Roman" w:hAnsi="Times New Roman" w:cs="Times New Roman"/>
                <w:b w:val="0"/>
                <w:bCs/>
                <w:sz w:val="21"/>
                <w:szCs w:val="21"/>
              </w:rPr>
              <w:t>15.5</w:t>
            </w:r>
          </w:p>
        </w:tc>
        <w:tc>
          <w:tcPr>
            <w:tcW w:w="1155" w:type="dxa"/>
            <w:shd w:val="clear" w:color="auto" w:fill="auto"/>
            <w:noWrap w:val="0"/>
            <w:vAlign w:val="center"/>
          </w:tcPr>
          <w:p>
            <w:pPr>
              <w:adjustRightInd w:val="0"/>
              <w:snapToGrid w:val="0"/>
              <w:ind w:firstLine="0" w:firstLineChars="0"/>
              <w:jc w:val="center"/>
              <w:rPr>
                <w:rFonts w:hint="eastAsia" w:ascii="Times New Roman" w:hAnsi="Times New Roman" w:cs="Times New Roman"/>
                <w:b w:val="0"/>
                <w:bCs/>
                <w:sz w:val="21"/>
                <w:szCs w:val="21"/>
              </w:rPr>
            </w:pPr>
            <w:r>
              <w:rPr>
                <w:rFonts w:hint="eastAsia" w:ascii="Times New Roman" w:hAnsi="Times New Roman" w:cs="Times New Roman"/>
                <w:b w:val="0"/>
                <w:bCs/>
                <w:sz w:val="21"/>
                <w:szCs w:val="21"/>
              </w:rPr>
              <w:t>17.5</w:t>
            </w:r>
          </w:p>
        </w:tc>
        <w:tc>
          <w:tcPr>
            <w:tcW w:w="1126" w:type="dxa"/>
            <w:shd w:val="clear" w:color="auto" w:fill="auto"/>
            <w:noWrap w:val="0"/>
            <w:vAlign w:val="center"/>
          </w:tcPr>
          <w:p>
            <w:pPr>
              <w:adjustRightInd w:val="0"/>
              <w:snapToGrid w:val="0"/>
              <w:ind w:firstLine="0" w:firstLineChars="0"/>
              <w:jc w:val="center"/>
              <w:rPr>
                <w:rFonts w:hint="eastAsia" w:ascii="Times New Roman" w:hAnsi="Times New Roman" w:cs="Times New Roman"/>
                <w:b w:val="0"/>
                <w:bCs/>
                <w:sz w:val="21"/>
                <w:szCs w:val="21"/>
              </w:rPr>
            </w:pPr>
            <w:r>
              <w:rPr>
                <w:rFonts w:hint="eastAsia" w:ascii="Times New Roman" w:hAnsi="Times New Roman" w:cs="Times New Roman"/>
                <w:b w:val="0"/>
                <w:bCs/>
                <w:sz w:val="21"/>
                <w:szCs w:val="21"/>
              </w:rPr>
              <w:t>18.7</w:t>
            </w:r>
          </w:p>
        </w:tc>
        <w:tc>
          <w:tcPr>
            <w:tcW w:w="1137" w:type="dxa"/>
            <w:shd w:val="clear" w:color="auto" w:fill="auto"/>
            <w:noWrap w:val="0"/>
            <w:vAlign w:val="center"/>
          </w:tcPr>
          <w:p>
            <w:pPr>
              <w:adjustRightInd w:val="0"/>
              <w:snapToGrid w:val="0"/>
              <w:ind w:firstLine="0" w:firstLineChars="0"/>
              <w:jc w:val="center"/>
              <w:rPr>
                <w:rFonts w:hint="eastAsia" w:ascii="Times New Roman" w:hAnsi="Times New Roman" w:cs="Times New Roman"/>
                <w:b w:val="0"/>
                <w:bCs/>
                <w:sz w:val="21"/>
                <w:szCs w:val="21"/>
              </w:rPr>
            </w:pPr>
            <w:r>
              <w:rPr>
                <w:rFonts w:hint="eastAsia" w:ascii="Times New Roman" w:hAnsi="Times New Roman" w:cs="Times New Roman"/>
                <w:b w:val="0"/>
                <w:bCs/>
                <w:sz w:val="21"/>
                <w:szCs w:val="21"/>
              </w:rPr>
              <w:t>-3.5</w:t>
            </w:r>
          </w:p>
        </w:tc>
        <w:tc>
          <w:tcPr>
            <w:tcW w:w="1383" w:type="dxa"/>
            <w:vMerge w:val="continue"/>
            <w:shd w:val="clear" w:color="auto" w:fill="auto"/>
            <w:noWrap w:val="0"/>
            <w:vAlign w:val="center"/>
          </w:tcPr>
          <w:p>
            <w:pPr>
              <w:adjustRightInd w:val="0"/>
              <w:snapToGrid w:val="0"/>
              <w:ind w:firstLine="0" w:firstLineChars="0"/>
              <w:jc w:val="center"/>
              <w:rPr>
                <w:rFonts w:hint="eastAsia" w:ascii="Times New Roman" w:hAnsi="Times New Roman" w:cs="Times New Roman"/>
                <w:b/>
                <w:sz w:val="21"/>
                <w:szCs w:val="21"/>
              </w:rPr>
            </w:pPr>
          </w:p>
        </w:tc>
      </w:tr>
      <w:bookmarkEnd w:id="12"/>
      <w:bookmarkEnd w:id="13"/>
      <w:bookmarkEnd w:id="14"/>
    </w:tbl>
    <w:p>
      <w:pPr>
        <w:bidi w:val="0"/>
        <w:rPr>
          <w:rFonts w:hint="eastAsia"/>
        </w:rPr>
      </w:pPr>
      <w:r>
        <w:rPr>
          <w:rFonts w:hint="eastAsia"/>
        </w:rPr>
        <w:t>表注</w:t>
      </w:r>
    </w:p>
    <w:p>
      <w:pPr>
        <w:spacing w:before="120" w:beforeLines="50" w:line="360" w:lineRule="auto"/>
        <w:ind w:left="803" w:leftChars="250" w:hanging="103" w:hangingChars="43"/>
        <w:rPr>
          <w:rFonts w:hint="eastAsia" w:ascii="仿宋_GB2312" w:hAnsi="仿宋_GB2312" w:eastAsia="仿宋_GB2312"/>
          <w:sz w:val="24"/>
          <w:szCs w:val="24"/>
        </w:rPr>
      </w:pPr>
      <w:r>
        <w:rPr>
          <w:rFonts w:hint="eastAsia" w:ascii="仿宋_GB2312" w:hAnsi="仿宋_GB2312" w:eastAsia="仿宋_GB2312"/>
          <w:sz w:val="24"/>
          <w:szCs w:val="24"/>
        </w:rPr>
        <w:t xml:space="preserve">（1）表中张拉及存梁天数均指混凝土龄期； </w:t>
      </w:r>
    </w:p>
    <w:p>
      <w:pPr>
        <w:spacing w:before="120" w:beforeLines="50" w:line="360" w:lineRule="auto"/>
        <w:ind w:left="803" w:leftChars="250" w:hanging="103" w:hangingChars="43"/>
        <w:rPr>
          <w:rFonts w:hint="eastAsia" w:ascii="仿宋_GB2312" w:hAnsi="仿宋_GB2312" w:eastAsia="仿宋_GB2312"/>
          <w:sz w:val="24"/>
          <w:szCs w:val="24"/>
        </w:rPr>
      </w:pPr>
      <w:r>
        <w:rPr>
          <w:rFonts w:hint="eastAsia" w:ascii="仿宋_GB2312" w:hAnsi="仿宋_GB2312" w:eastAsia="仿宋_GB2312"/>
          <w:sz w:val="24"/>
          <w:szCs w:val="24"/>
        </w:rPr>
        <w:t>（2）表中数值为计算值，施工时，应根据预制梁实测上拱值修正反预拱度；</w:t>
      </w:r>
    </w:p>
    <w:p>
      <w:pPr>
        <w:spacing w:before="120" w:beforeLines="50" w:line="360" w:lineRule="auto"/>
        <w:ind w:left="803" w:leftChars="250" w:hanging="103" w:hangingChars="43"/>
        <w:rPr>
          <w:rFonts w:hint="eastAsia" w:ascii="仿宋_GB2312" w:hAnsi="仿宋_GB2312" w:eastAsia="仿宋_GB2312"/>
          <w:sz w:val="24"/>
          <w:szCs w:val="24"/>
        </w:rPr>
      </w:pPr>
      <w:r>
        <w:rPr>
          <w:rFonts w:hint="eastAsia" w:ascii="仿宋_GB2312" w:hAnsi="仿宋_GB2312" w:eastAsia="仿宋_GB2312"/>
          <w:sz w:val="24"/>
          <w:szCs w:val="24"/>
        </w:rPr>
        <w:t>（3）表中反预拱度建议值未考虑竖曲线的影响，设计时应根据竖曲线半径调整反预拱度的设置值；</w:t>
      </w:r>
    </w:p>
    <w:p>
      <w:pPr>
        <w:spacing w:before="120" w:beforeLines="50" w:line="360" w:lineRule="auto"/>
        <w:ind w:left="803" w:leftChars="250" w:hanging="103" w:hangingChars="43"/>
        <w:rPr>
          <w:rFonts w:hint="eastAsia" w:ascii="仿宋_GB2312" w:hAnsi="仿宋_GB2312" w:eastAsia="仿宋_GB2312"/>
          <w:sz w:val="24"/>
          <w:szCs w:val="24"/>
        </w:rPr>
      </w:pPr>
      <w:r>
        <w:rPr>
          <w:rFonts w:hint="eastAsia" w:ascii="仿宋_GB2312" w:hAnsi="仿宋_GB2312" w:eastAsia="仿宋_GB2312"/>
          <w:sz w:val="24"/>
          <w:szCs w:val="24"/>
        </w:rPr>
        <w:t>（4）反预拱度可采用圆曲线或其它二次抛物线。</w:t>
      </w:r>
    </w:p>
    <w:p>
      <w:pPr>
        <w:bidi w:val="0"/>
        <w:rPr>
          <w:rFonts w:hint="eastAsia"/>
        </w:rPr>
      </w:pPr>
      <w:r>
        <w:rPr>
          <w:rFonts w:hint="eastAsia"/>
        </w:rPr>
        <w:t>6）用于同一跨中各空心板的混凝土浇筑时间差、终张拉时的混凝土龄期差不宜超过10d，避免各板上拱值差异过大。</w:t>
      </w:r>
    </w:p>
    <w:p>
      <w:pPr>
        <w:bidi w:val="0"/>
        <w:rPr>
          <w:rFonts w:hint="eastAsia"/>
        </w:rPr>
      </w:pPr>
      <w:r>
        <w:rPr>
          <w:rFonts w:hint="eastAsia"/>
        </w:rPr>
        <w:t>7）空心板板体混凝土浇筑应连续浇筑、一次成形，每片预制板浇筑总时间不宜超过6h。预制板混凝土拌和物入模前含气量应控制在3.0%～</w:t>
      </w:r>
      <w:r>
        <w:t>4</w:t>
      </w:r>
      <w:r>
        <w:rPr>
          <w:rFonts w:hint="eastAsia"/>
        </w:rPr>
        <w:t>.5</w:t>
      </w:r>
      <w:r>
        <w:t>%</w:t>
      </w:r>
      <w:r>
        <w:rPr>
          <w:rFonts w:hint="eastAsia"/>
        </w:rPr>
        <w:t>，模板及钢筋温度宜在5℃～</w:t>
      </w:r>
      <w:r>
        <w:t>3</w:t>
      </w:r>
      <w:r>
        <w:rPr>
          <w:rFonts w:hint="eastAsia"/>
        </w:rPr>
        <w:t>5℃，预制板混凝土拌和物入模温度宜在5℃～</w:t>
      </w:r>
      <w:r>
        <w:t>30</w:t>
      </w:r>
      <w:r>
        <w:rPr>
          <w:rFonts w:hint="eastAsia"/>
        </w:rPr>
        <w:t>℃。施工中应加强观察，防止漏浆、欠振和漏振现象发生。空心板顶板、腹板应用平板振动器振捣。要避免振动器碰撞预应力管道、预埋件、模板，对锚垫板后钢筋密集区应认真、细致振捣，确保锚下混凝土密实。</w:t>
      </w:r>
    </w:p>
    <w:p>
      <w:pPr>
        <w:bidi w:val="0"/>
        <w:rPr>
          <w:rFonts w:hint="eastAsia"/>
        </w:rPr>
      </w:pPr>
      <w:r>
        <w:rPr>
          <w:rFonts w:hint="eastAsia"/>
        </w:rPr>
        <w:t>8）预制板在浇筑混凝土过程中，应随机取样制作标准养护和施工用混凝土强度、弹性模量试件，应从构件不同部位分别进行取样。施工试件应随板体或在同样条件下振动成型、养护，28d标准试件按标准养护办理。</w:t>
      </w:r>
    </w:p>
    <w:p>
      <w:pPr>
        <w:bidi w:val="0"/>
        <w:rPr>
          <w:rFonts w:hint="eastAsia"/>
        </w:rPr>
      </w:pPr>
      <w:r>
        <w:rPr>
          <w:rFonts w:hint="eastAsia"/>
        </w:rPr>
        <w:t>9）板体混凝土振捣浇筑完成后，采用木抹子对梁顶进行抹光，初凝之前再进行二次收浆，最后进行拉毛处理。</w:t>
      </w:r>
    </w:p>
    <w:p>
      <w:pPr>
        <w:bidi w:val="0"/>
        <w:rPr>
          <w:rFonts w:hint="eastAsia"/>
        </w:rPr>
      </w:pPr>
      <w:r>
        <w:rPr>
          <w:rFonts w:hint="eastAsia"/>
        </w:rPr>
        <w:t>10）预制板拆模时梁体混凝土芯部与表层、空心板腔内与腔外、表层与环境温度差均不宜大于15℃，气温急剧变化时不宜拆模。还应防止混凝土表面温度受环境因素影响（如曝晒、气温聚降等）而发生剧烈变化。预制梁拆模后应安装自动喷淋养护措施进行养护，并用土工布覆盖至梁底保持足够的湿度和温度，不能只覆盖梁顶部分。保湿养护期不应少于</w:t>
      </w:r>
      <w:r>
        <w:t>14d</w:t>
      </w:r>
      <w:r>
        <w:rPr>
          <w:rFonts w:hint="eastAsia"/>
        </w:rPr>
        <w:t>。</w:t>
      </w:r>
    </w:p>
    <w:p>
      <w:pPr>
        <w:pStyle w:val="5"/>
        <w:bidi w:val="0"/>
        <w:rPr>
          <w:rFonts w:hint="eastAsia"/>
        </w:rPr>
      </w:pPr>
      <w:r>
        <w:rPr>
          <w:rFonts w:hint="eastAsia"/>
        </w:rPr>
        <w:t>预应力工艺</w:t>
      </w:r>
    </w:p>
    <w:p>
      <w:pPr>
        <w:bidi w:val="0"/>
        <w:rPr>
          <w:rFonts w:hint="eastAsia"/>
        </w:rPr>
      </w:pPr>
      <w:r>
        <w:rPr>
          <w:rFonts w:hint="eastAsia"/>
        </w:rPr>
        <w:t>1）预应力失效处理</w:t>
      </w:r>
    </w:p>
    <w:p>
      <w:pPr>
        <w:numPr>
          <w:ilvl w:val="0"/>
          <w:numId w:val="17"/>
        </w:numPr>
        <w:bidi w:val="0"/>
        <w:rPr>
          <w:rFonts w:hint="eastAsia"/>
        </w:rPr>
      </w:pPr>
      <w:r>
        <w:rPr>
          <w:rFonts w:hint="eastAsia"/>
        </w:rPr>
        <w:t>预应力钢绞线传力锚固长度按100</w:t>
      </w:r>
      <w:r>
        <w:t>d</w:t>
      </w:r>
      <w:r>
        <w:rPr>
          <w:rFonts w:hint="eastAsia"/>
        </w:rPr>
        <w:t>考虑，如发现有滑丝现象，须采取必要的措施，如采用夹具机械锚固等。</w:t>
      </w:r>
    </w:p>
    <w:p>
      <w:pPr>
        <w:numPr>
          <w:ilvl w:val="0"/>
          <w:numId w:val="17"/>
        </w:numPr>
        <w:bidi w:val="0"/>
        <w:rPr>
          <w:rFonts w:hint="eastAsia"/>
        </w:rPr>
      </w:pPr>
      <w:r>
        <w:rPr>
          <w:rFonts w:hint="eastAsia"/>
        </w:rPr>
        <w:t>预应力有效长度范围以外的部分（失效部分）一定采取有效的措施进行失效处理，一般采用硬塑料套管或硬塑料围裹将失效范围的预应力套住，以使预应力筋与混凝土不产生握裹作用，部份预应力钢筋两端采用的失效措施应稳固牢靠。</w:t>
      </w:r>
    </w:p>
    <w:p>
      <w:pPr>
        <w:bidi w:val="0"/>
        <w:rPr>
          <w:rFonts w:hint="eastAsia"/>
        </w:rPr>
      </w:pPr>
      <w:r>
        <w:rPr>
          <w:rFonts w:hint="eastAsia"/>
        </w:rPr>
        <w:t>2）张拉台座</w:t>
      </w:r>
    </w:p>
    <w:p>
      <w:pPr>
        <w:numPr>
          <w:ilvl w:val="0"/>
          <w:numId w:val="18"/>
        </w:numPr>
        <w:bidi w:val="0"/>
        <w:rPr>
          <w:rFonts w:hint="eastAsia"/>
        </w:rPr>
      </w:pPr>
      <w:r>
        <w:rPr>
          <w:rFonts w:hint="eastAsia"/>
        </w:rPr>
        <w:t>承力台座应进行施工工艺设计，应具有足够的强度、刚度和稳定性，其抗倾覆安全系数不小于1.5，抗滑移系数应不小于1.3。严禁因预应力钢筋张拉使台座变形。两端预应力钢筋锚固横梁、放张砂筒等应有可靠的固定等安全防范措施，防治上翻、滑脱等安全事故的发生。</w:t>
      </w:r>
    </w:p>
    <w:p>
      <w:pPr>
        <w:numPr>
          <w:ilvl w:val="0"/>
          <w:numId w:val="18"/>
        </w:numPr>
        <w:bidi w:val="0"/>
        <w:rPr>
          <w:rFonts w:hint="eastAsia"/>
        </w:rPr>
      </w:pPr>
      <w:r>
        <w:rPr>
          <w:rFonts w:hint="eastAsia"/>
        </w:rPr>
        <w:t>张拉横梁应具有足够的刚度，受力后挠度应不大于2mm。</w:t>
      </w:r>
    </w:p>
    <w:p>
      <w:pPr>
        <w:numPr>
          <w:ilvl w:val="0"/>
          <w:numId w:val="18"/>
        </w:numPr>
        <w:bidi w:val="0"/>
        <w:rPr>
          <w:rFonts w:hint="eastAsia"/>
        </w:rPr>
      </w:pPr>
      <w:r>
        <w:rPr>
          <w:rFonts w:hint="eastAsia"/>
        </w:rPr>
        <w:t>有可防止沾污铺放在台座上的预应力筋的措施，模板隔离剂应选用非油脂类物质。</w:t>
      </w:r>
    </w:p>
    <w:p>
      <w:pPr>
        <w:bidi w:val="0"/>
        <w:rPr>
          <w:rFonts w:hint="eastAsia"/>
        </w:rPr>
      </w:pPr>
      <w:r>
        <w:rPr>
          <w:rFonts w:hint="eastAsia"/>
        </w:rPr>
        <w:t>3）先张法预应力筋张拉</w:t>
      </w:r>
    </w:p>
    <w:p>
      <w:pPr>
        <w:numPr>
          <w:ilvl w:val="0"/>
          <w:numId w:val="19"/>
        </w:numPr>
        <w:bidi w:val="0"/>
        <w:rPr>
          <w:rFonts w:hint="eastAsia"/>
        </w:rPr>
      </w:pPr>
      <w:r>
        <w:rPr>
          <w:rFonts w:hint="eastAsia"/>
        </w:rPr>
        <w:t>张拉前，应对台座、横梁及各项张拉设备进行详细检查，符合要求后可进行操作。</w:t>
      </w:r>
    </w:p>
    <w:p>
      <w:pPr>
        <w:numPr>
          <w:ilvl w:val="0"/>
          <w:numId w:val="19"/>
        </w:numPr>
        <w:bidi w:val="0"/>
        <w:rPr>
          <w:rFonts w:hint="eastAsia"/>
        </w:rPr>
      </w:pPr>
      <w:r>
        <w:rPr>
          <w:rFonts w:hint="eastAsia"/>
        </w:rPr>
        <w:t>同时张拉多根直线预应力筋时，应预先调整其初应力，使相互之间的应力一致再整体张拉，张拉过程中，应使活动横梁与固定横梁始终保持平行，并应抽查预应力值，其偏差的绝对值不得超过一个构件全部预应力筋预应力总值的5%。</w:t>
      </w:r>
    </w:p>
    <w:p>
      <w:pPr>
        <w:numPr>
          <w:ilvl w:val="0"/>
          <w:numId w:val="19"/>
        </w:numPr>
        <w:bidi w:val="0"/>
        <w:rPr>
          <w:rFonts w:hint="eastAsia"/>
        </w:rPr>
      </w:pPr>
      <w:r>
        <w:rPr>
          <w:rFonts w:hint="eastAsia"/>
        </w:rPr>
        <w:t>预应力筋张拉完成后，与设计位置的偏差不得大于5mm，也不得大于构件最短边长的4%。</w:t>
      </w:r>
    </w:p>
    <w:p>
      <w:pPr>
        <w:numPr>
          <w:ilvl w:val="0"/>
          <w:numId w:val="19"/>
        </w:numPr>
        <w:bidi w:val="0"/>
        <w:rPr>
          <w:rFonts w:hint="eastAsia"/>
        </w:rPr>
      </w:pPr>
      <w:r>
        <w:rPr>
          <w:rFonts w:hint="eastAsia"/>
        </w:rPr>
        <w:t>预应力钢绞线张拉工序：O→初始应力→σ</w:t>
      </w:r>
      <w:r>
        <w:t>con</w:t>
      </w:r>
      <w:r>
        <w:rPr>
          <w:rFonts w:hint="eastAsia"/>
        </w:rPr>
        <w:t>（持荷2分钟）→锚固。</w:t>
      </w:r>
    </w:p>
    <w:p>
      <w:pPr>
        <w:numPr>
          <w:ilvl w:val="0"/>
          <w:numId w:val="19"/>
        </w:numPr>
        <w:bidi w:val="0"/>
        <w:rPr>
          <w:rFonts w:hint="eastAsia"/>
        </w:rPr>
      </w:pPr>
      <w:r>
        <w:rPr>
          <w:rFonts w:hint="eastAsia"/>
        </w:rPr>
        <w:t>施加预应力应采用张拉力与引伸量双控。当预应力钢束张拉达到设计张拉力时，实际引伸量值与理论引伸量值的误差应控制在6%以内。实际引伸量值应扣除钢束的非弹性变形影响。</w:t>
      </w:r>
    </w:p>
    <w:p>
      <w:pPr>
        <w:bidi w:val="0"/>
        <w:rPr>
          <w:rFonts w:hint="eastAsia"/>
        </w:rPr>
      </w:pPr>
      <w:r>
        <w:rPr>
          <w:rFonts w:hint="eastAsia"/>
        </w:rPr>
        <w:t>4）预应力放张</w:t>
      </w:r>
    </w:p>
    <w:p>
      <w:pPr>
        <w:numPr>
          <w:ilvl w:val="0"/>
          <w:numId w:val="20"/>
        </w:numPr>
        <w:bidi w:val="0"/>
        <w:rPr>
          <w:rFonts w:hint="eastAsia"/>
        </w:rPr>
      </w:pPr>
      <w:r>
        <w:rPr>
          <w:rFonts w:hint="eastAsia"/>
        </w:rPr>
        <w:t>预制空心板预应力钢筋必须待混凝土强度达到设计混凝土强度等级的85%、弹性模量达到设计值的85％后，且混凝土龄期不小于7天，方可放张。在条件具备时适当增加龄期，提高混凝土弹性模量，减少反拱度。</w:t>
      </w:r>
    </w:p>
    <w:p>
      <w:pPr>
        <w:numPr>
          <w:ilvl w:val="0"/>
          <w:numId w:val="20"/>
        </w:numPr>
        <w:bidi w:val="0"/>
        <w:rPr>
          <w:rFonts w:hint="eastAsia"/>
        </w:rPr>
      </w:pPr>
      <w:r>
        <w:rPr>
          <w:rFonts w:hint="eastAsia"/>
        </w:rPr>
        <w:t>在预应力筋放张之前，应将限制位移的侧模、翼缘模板或内模拆除。</w:t>
      </w:r>
    </w:p>
    <w:p>
      <w:pPr>
        <w:numPr>
          <w:ilvl w:val="0"/>
          <w:numId w:val="20"/>
        </w:numPr>
        <w:bidi w:val="0"/>
        <w:rPr>
          <w:rFonts w:hint="eastAsia"/>
        </w:rPr>
      </w:pPr>
      <w:r>
        <w:rPr>
          <w:rFonts w:hint="eastAsia"/>
        </w:rPr>
        <w:t>预应力筋的放张应分阶段、对称、相互交错的放张。</w:t>
      </w:r>
    </w:p>
    <w:p>
      <w:pPr>
        <w:numPr>
          <w:ilvl w:val="0"/>
          <w:numId w:val="20"/>
        </w:numPr>
        <w:bidi w:val="0"/>
        <w:rPr>
          <w:rFonts w:hint="eastAsia"/>
        </w:rPr>
      </w:pPr>
      <w:r>
        <w:rPr>
          <w:rFonts w:hint="eastAsia"/>
        </w:rPr>
        <w:t>多根整批预应力筋的放张，可采用砂箱法或千斤顶法。用砂箱放张时，放砂速度应均匀一致；用千斤顶放张时，放张宜分数次完成。</w:t>
      </w:r>
    </w:p>
    <w:p>
      <w:pPr>
        <w:numPr>
          <w:ilvl w:val="0"/>
          <w:numId w:val="20"/>
        </w:numPr>
        <w:bidi w:val="0"/>
        <w:rPr>
          <w:rFonts w:hint="eastAsia"/>
        </w:rPr>
      </w:pPr>
      <w:r>
        <w:rPr>
          <w:rFonts w:hint="eastAsia"/>
        </w:rPr>
        <w:t>预应力钢绞线放张后，可用砂轮锯切断。长线台座上的预应力筋的切断顺序，应由放张端开始，逐次向另一端切断。</w:t>
      </w:r>
    </w:p>
    <w:p>
      <w:pPr>
        <w:pStyle w:val="5"/>
        <w:bidi w:val="0"/>
        <w:rPr>
          <w:rFonts w:hint="eastAsia"/>
        </w:rPr>
      </w:pPr>
      <w:r>
        <w:rPr>
          <w:rFonts w:hint="eastAsia"/>
          <w:lang w:val="en-US" w:eastAsia="zh-CN"/>
        </w:rPr>
        <w:t>空心板</w:t>
      </w:r>
      <w:r>
        <w:rPr>
          <w:rFonts w:hint="eastAsia"/>
        </w:rPr>
        <w:t>安装</w:t>
      </w:r>
    </w:p>
    <w:p>
      <w:pPr>
        <w:bidi w:val="0"/>
        <w:rPr>
          <w:rFonts w:hint="eastAsia"/>
        </w:rPr>
      </w:pPr>
      <w:r>
        <w:rPr>
          <w:rFonts w:hint="eastAsia"/>
        </w:rPr>
        <w:t>1）空心板施工工艺流程</w:t>
      </w:r>
    </w:p>
    <w:p>
      <w:pPr>
        <w:numPr>
          <w:ilvl w:val="0"/>
          <w:numId w:val="21"/>
        </w:numPr>
        <w:bidi w:val="0"/>
        <w:rPr>
          <w:rFonts w:hint="eastAsia"/>
        </w:rPr>
      </w:pPr>
      <w:r>
        <w:rPr>
          <w:rFonts w:hint="eastAsia"/>
        </w:rPr>
        <w:t>设置好永久支座，逐孔安装。预制板运输、起吊过程中应注意采取有效措施确保空心板的横向稳定，架设后及时连接铰缝钢筋。</w:t>
      </w:r>
    </w:p>
    <w:p>
      <w:pPr>
        <w:numPr>
          <w:ilvl w:val="0"/>
          <w:numId w:val="21"/>
        </w:numPr>
        <w:bidi w:val="0"/>
        <w:rPr>
          <w:rFonts w:hint="eastAsia"/>
        </w:rPr>
      </w:pPr>
      <w:r>
        <w:rPr>
          <w:rFonts w:hint="eastAsia"/>
        </w:rPr>
        <w:t>在运输预应力混凝土空心板时，一定要采取措施，勿使预应力产生的负弯矩起破坏作用。可采取措施给空心板施加一个正弯矩。</w:t>
      </w:r>
    </w:p>
    <w:p>
      <w:pPr>
        <w:numPr>
          <w:ilvl w:val="0"/>
          <w:numId w:val="21"/>
        </w:numPr>
        <w:bidi w:val="0"/>
        <w:rPr>
          <w:rFonts w:hint="eastAsia"/>
        </w:rPr>
      </w:pPr>
      <w:r>
        <w:rPr>
          <w:rFonts w:hint="eastAsia"/>
        </w:rPr>
        <w:t>连接桥面连续钢筋，设置好桥面整体化现浇层钢筋（与伸出板顶的腹板箍筋绑扎），整体化现浇层混凝土与铰缝混凝土一起浇筑。</w:t>
      </w:r>
    </w:p>
    <w:p>
      <w:pPr>
        <w:numPr>
          <w:ilvl w:val="0"/>
          <w:numId w:val="21"/>
        </w:numPr>
        <w:bidi w:val="0"/>
        <w:rPr>
          <w:rFonts w:hint="eastAsia"/>
        </w:rPr>
      </w:pPr>
      <w:r>
        <w:rPr>
          <w:rFonts w:hint="eastAsia"/>
        </w:rPr>
        <w:t>施工护栏。</w:t>
      </w:r>
    </w:p>
    <w:p>
      <w:pPr>
        <w:numPr>
          <w:ilvl w:val="0"/>
          <w:numId w:val="21"/>
        </w:numPr>
        <w:bidi w:val="0"/>
        <w:rPr>
          <w:rFonts w:hint="eastAsia"/>
        </w:rPr>
      </w:pPr>
      <w:r>
        <w:rPr>
          <w:rFonts w:hint="eastAsia"/>
        </w:rPr>
        <w:t>喷洒防水层、进行桥面铺装施工及安装伸缩缝。</w:t>
      </w:r>
    </w:p>
    <w:p>
      <w:pPr>
        <w:bidi w:val="0"/>
        <w:rPr>
          <w:rFonts w:hint="eastAsia"/>
        </w:rPr>
      </w:pPr>
      <w:r>
        <w:rPr>
          <w:rFonts w:hint="eastAsia"/>
        </w:rPr>
        <w:t>2）铰缝施工</w:t>
      </w:r>
    </w:p>
    <w:p>
      <w:pPr>
        <w:numPr>
          <w:ilvl w:val="0"/>
          <w:numId w:val="22"/>
        </w:numPr>
        <w:bidi w:val="0"/>
        <w:rPr>
          <w:rFonts w:hint="eastAsia"/>
        </w:rPr>
      </w:pPr>
      <w:r>
        <w:rPr>
          <w:rFonts w:hint="eastAsia"/>
        </w:rPr>
        <w:t>预制板混凝土凿毛。预制空心板铰缝面应凿毛成凹凸不小于6mm的粗糙面。在浇注铰缝混凝土时湿润表面并座浆，以保证新老混凝土的良好结合。</w:t>
      </w:r>
    </w:p>
    <w:p>
      <w:pPr>
        <w:numPr>
          <w:ilvl w:val="0"/>
          <w:numId w:val="22"/>
        </w:numPr>
        <w:bidi w:val="0"/>
        <w:rPr>
          <w:rFonts w:hint="eastAsia"/>
        </w:rPr>
      </w:pPr>
      <w:r>
        <w:rPr>
          <w:rFonts w:hint="eastAsia"/>
        </w:rPr>
        <w:t>填底缝。采用M15砂浆填底缝，待底缝砂浆达到80%强度以上以后再浇注铰缝混凝土。</w:t>
      </w:r>
    </w:p>
    <w:p>
      <w:pPr>
        <w:numPr>
          <w:ilvl w:val="0"/>
          <w:numId w:val="22"/>
        </w:numPr>
        <w:bidi w:val="0"/>
        <w:rPr>
          <w:rFonts w:hint="eastAsia"/>
        </w:rPr>
      </w:pPr>
      <w:r>
        <w:rPr>
          <w:rFonts w:hint="eastAsia"/>
        </w:rPr>
        <w:t>钢筋绑扎。空心板就位后应及时连接铰缝钢筋，钢筋绑扎、安装时应准确定位，连接筋应使用钢筋定位辅助措施进行定位。</w:t>
      </w:r>
    </w:p>
    <w:p>
      <w:pPr>
        <w:numPr>
          <w:ilvl w:val="0"/>
          <w:numId w:val="22"/>
        </w:numPr>
        <w:bidi w:val="0"/>
        <w:rPr>
          <w:rFonts w:hint="eastAsia"/>
        </w:rPr>
      </w:pPr>
      <w:r>
        <w:rPr>
          <w:rFonts w:hint="eastAsia"/>
        </w:rPr>
        <w:t>混凝土浇注。铰缝混凝土应与桥面整体化层混凝土一起浇筑。浇注混凝土应用振动器振捣，混凝土振捣浇注完成后，板顶用木抹子抹光，初凝之前再进行二次收浆并拉毛处理。</w:t>
      </w:r>
    </w:p>
    <w:p>
      <w:pPr>
        <w:numPr>
          <w:ilvl w:val="0"/>
          <w:numId w:val="22"/>
        </w:numPr>
        <w:bidi w:val="0"/>
        <w:rPr>
          <w:rFonts w:hint="eastAsia"/>
        </w:rPr>
      </w:pPr>
      <w:r>
        <w:rPr>
          <w:rFonts w:hint="eastAsia"/>
        </w:rPr>
        <w:t>混凝土养护。铰缝浇筑后，静置1～2h，带模浇水养护。在常温下一般养护采用干净的无纺土工布覆盖洒水养生，时间不少于7d。冬季气温低于5℃时不得浇水，养护时间增长，并采取保温措施。</w:t>
      </w:r>
    </w:p>
    <w:p>
      <w:pPr>
        <w:bidi w:val="0"/>
        <w:rPr>
          <w:rFonts w:hint="eastAsia"/>
        </w:rPr>
      </w:pPr>
      <w:r>
        <w:rPr>
          <w:rFonts w:hint="eastAsia"/>
        </w:rPr>
        <w:t>3）空心板吊装一般采用汽车吊车进行吊装。吊装时采用设吊孔穿束兜托梁底的吊装方法，按照图纸要求设置吊装预留孔，吊装预留孔可采用PVC管。捆绑钢丝绳与板底面、侧面等拐角接触处，必须安放护梁铁瓦或胶皮垫。</w:t>
      </w:r>
    </w:p>
    <w:p>
      <w:pPr>
        <w:bidi w:val="0"/>
        <w:rPr>
          <w:rFonts w:hint="eastAsia"/>
        </w:rPr>
      </w:pPr>
      <w:r>
        <w:rPr>
          <w:rFonts w:hint="eastAsia"/>
        </w:rPr>
        <w:t>4）裸板堆放不应超过两层，应适当遮盖，不宜曝晒曝寒。</w:t>
      </w:r>
    </w:p>
    <w:p>
      <w:pPr>
        <w:bidi w:val="0"/>
        <w:rPr>
          <w:rFonts w:hint="eastAsia"/>
        </w:rPr>
      </w:pPr>
      <w:r>
        <w:rPr>
          <w:rFonts w:hint="eastAsia"/>
        </w:rPr>
        <w:t>5）施工单位应根据架梁方案对空心板进行施工荷载验算，验算通过后方可施工。空心板架设完成后，在整体化层混凝土浇筑完成并达到设计强度前不得通行施工车辆。</w:t>
      </w:r>
    </w:p>
    <w:p>
      <w:pPr>
        <w:pStyle w:val="5"/>
        <w:bidi w:val="0"/>
        <w:rPr>
          <w:rFonts w:hint="eastAsia"/>
        </w:rPr>
      </w:pPr>
      <w:r>
        <w:rPr>
          <w:rFonts w:hint="eastAsia"/>
        </w:rPr>
        <w:t>其他</w:t>
      </w:r>
    </w:p>
    <w:p>
      <w:pPr>
        <w:bidi w:val="0"/>
        <w:rPr>
          <w:rFonts w:hint="eastAsia"/>
        </w:rPr>
      </w:pPr>
      <w:r>
        <w:rPr>
          <w:rFonts w:hint="eastAsia"/>
        </w:rPr>
        <w:t>1）所有混凝土浇筑后均需进行保湿养护。预制板拆模后应安装自动喷淋养护措施进行养护，并用土工布覆盖至板底保持足够的湿度和温度，不能只覆盖板顶部分，封锚混凝土浇筑后，静置1～2h，带模浇水养护，常温下一般养护时间不少于14d。现场浇筑的整体化层混凝土在收浆后均需覆盖和洒水养护，覆盖时不得损伤或污染混凝土表面，混凝土面有模板覆盖时,应在养护期间使模板保持湿润，常温下需保湿养护14d以上。冬季气温低于5℃时不得浇水，养护时间适当增长，并采取保温措施。</w:t>
      </w:r>
    </w:p>
    <w:p>
      <w:pPr>
        <w:bidi w:val="0"/>
        <w:rPr>
          <w:rFonts w:hint="eastAsia"/>
        </w:rPr>
      </w:pPr>
      <w:r>
        <w:rPr>
          <w:rFonts w:hint="eastAsia"/>
        </w:rPr>
        <w:t>2）空心板施工中钢筋的连接方式：如设计图纸中未说明，钢筋直径≥12mm时，钢筋连接应采用焊接，钢筋直径＜12mm时，钢筋连接可采用绑扎。绑扎及焊接长度应按照《公路桥涵施工技术规范》JTGT F50-2011的有关规定严格执行。</w:t>
      </w:r>
    </w:p>
    <w:p>
      <w:pPr>
        <w:bidi w:val="0"/>
        <w:rPr>
          <w:rFonts w:hint="eastAsia"/>
        </w:rPr>
      </w:pPr>
      <w:r>
        <w:rPr>
          <w:rFonts w:hint="eastAsia"/>
        </w:rPr>
        <w:t>3）空心板板端顶板预留了封端混凝土浇筑预留孔，浇筑前将堵头板进行就位，并用砂浆封闭堵头板与空心板内腔间的空隙。顶板预留孔范围内分布钢筋可以截断，必须留够补强连接长度，并采用等强度原则予以补强，确认补强质量后再浇筑封端混凝土，顶板预留孔混凝土可与封端混凝土一起浇筑。</w:t>
      </w:r>
    </w:p>
    <w:p>
      <w:pPr>
        <w:bidi w:val="0"/>
        <w:rPr>
          <w:rFonts w:hint="eastAsia"/>
        </w:rPr>
      </w:pPr>
      <w:r>
        <w:rPr>
          <w:rFonts w:hint="eastAsia"/>
        </w:rPr>
        <w:t>4）由于板底横向设置单支座，梁就位后需采取临时措施确保空心板的横向稳定。</w:t>
      </w:r>
    </w:p>
    <w:p>
      <w:pPr>
        <w:bidi w:val="0"/>
        <w:rPr>
          <w:rFonts w:hint="eastAsia"/>
        </w:rPr>
      </w:pPr>
      <w:r>
        <w:rPr>
          <w:rFonts w:hint="eastAsia"/>
        </w:rPr>
        <w:t>5）所有新、老混凝土结合面均应严格凿毛处理。</w:t>
      </w:r>
    </w:p>
    <w:p>
      <w:pPr>
        <w:bidi w:val="0"/>
        <w:rPr>
          <w:rFonts w:hint="eastAsia"/>
        </w:rPr>
      </w:pPr>
      <w:r>
        <w:rPr>
          <w:rFonts w:hint="eastAsia"/>
        </w:rPr>
        <w:t>6）浇筑整体化层混凝土前应将板顶浮浆、油污清除干净，以保证新、老混凝土良好结合。</w:t>
      </w:r>
    </w:p>
    <w:p>
      <w:pPr>
        <w:bidi w:val="0"/>
        <w:rPr>
          <w:rFonts w:hint="eastAsia"/>
        </w:rPr>
      </w:pPr>
      <w:r>
        <w:rPr>
          <w:rFonts w:hint="eastAsia"/>
        </w:rPr>
        <w:t>采用沥青混凝土桥面铺装时，整体化混凝土现浇层的施工技术要求应参照水泥混凝土桥面铺装相关施工技术要求执行。</w:t>
      </w:r>
    </w:p>
    <w:p>
      <w:pPr>
        <w:bidi w:val="0"/>
        <w:rPr>
          <w:rFonts w:hint="eastAsia"/>
        </w:rPr>
      </w:pPr>
      <w:r>
        <w:rPr>
          <w:rFonts w:hint="eastAsia"/>
        </w:rPr>
        <w:t>当采用水泥混凝土桥面铺装层时，与整体化混凝土现浇层综合考虑设置，按照水泥混凝土桥面铺装相关施工技术要求执行。</w:t>
      </w:r>
    </w:p>
    <w:p>
      <w:pPr>
        <w:pStyle w:val="4"/>
        <w:bidi w:val="0"/>
        <w:rPr>
          <w:rFonts w:hint="eastAsia"/>
          <w:lang w:val="en-US" w:eastAsia="zh-CN"/>
        </w:rPr>
      </w:pPr>
      <w:r>
        <w:rPr>
          <w:rFonts w:hint="eastAsia"/>
          <w:lang w:val="en-US" w:eastAsia="zh-CN"/>
        </w:rPr>
        <w:t>下部结构</w:t>
      </w:r>
    </w:p>
    <w:p>
      <w:pPr>
        <w:numPr>
          <w:ilvl w:val="0"/>
          <w:numId w:val="23"/>
        </w:numPr>
        <w:bidi w:val="0"/>
        <w:rPr>
          <w:rFonts w:hint="eastAsia"/>
          <w:lang w:val="en-US" w:eastAsia="zh-CN"/>
        </w:rPr>
      </w:pPr>
      <w:r>
        <w:rPr>
          <w:rFonts w:hint="eastAsia"/>
          <w:lang w:val="en-US" w:eastAsia="zh-CN"/>
        </w:rPr>
        <w:t>施工单位进行施工放样之前，必须对各桥台控制里程桩号、桩位坐标、设计标高等数据进行复核计算，如发现计算结果与设计图中提供数据不符，应及时通知设计单位复查。</w:t>
      </w:r>
    </w:p>
    <w:p>
      <w:pPr>
        <w:numPr>
          <w:ilvl w:val="0"/>
          <w:numId w:val="23"/>
        </w:numPr>
        <w:bidi w:val="0"/>
        <w:rPr>
          <w:rFonts w:hint="eastAsia"/>
        </w:rPr>
      </w:pPr>
      <w:r>
        <w:rPr>
          <w:rFonts w:hint="eastAsia"/>
          <w:lang w:val="en-US" w:eastAsia="zh-CN"/>
        </w:rPr>
        <w:t>基础施工时应本着“先已知，后未知” 的原则，从有钻孔资料的桩位先行施工，当地质条</w:t>
      </w:r>
      <w:r>
        <w:rPr>
          <w:rFonts w:hint="eastAsia"/>
          <w:lang w:val="en-US" w:eastAsia="zh-CN"/>
        </w:rPr>
        <w:br w:type="textWrapping"/>
      </w:r>
      <w:r>
        <w:rPr>
          <w:rFonts w:hint="eastAsia"/>
          <w:lang w:val="en-US" w:eastAsia="zh-CN"/>
        </w:rPr>
        <w:t>件出现较大异常，应及时通知设计单位和监理单位，协商处理。对于岩层变化比较大，岩层性质难以判断的桥梁需进行补钻地质钻孔，待确定岩层性质后再施工附近桩基。</w:t>
      </w:r>
    </w:p>
    <w:p>
      <w:pPr>
        <w:numPr>
          <w:ilvl w:val="0"/>
          <w:numId w:val="23"/>
        </w:numPr>
        <w:bidi w:val="0"/>
        <w:rPr>
          <w:rFonts w:hint="eastAsia"/>
        </w:rPr>
      </w:pPr>
      <w:r>
        <w:rPr>
          <w:rFonts w:hint="eastAsia"/>
          <w:lang w:val="en-US" w:eastAsia="zh-CN"/>
        </w:rPr>
        <w:t>泥浆池至少要设置 2 个，即沉淀池、储浆池，其容积总和符合施工要求和监理人的要求。陆地桩基施工时，循环泥浆池采用砖墙式砖砌泥浆池。</w:t>
      </w:r>
    </w:p>
    <w:p>
      <w:pPr>
        <w:numPr>
          <w:ilvl w:val="0"/>
          <w:numId w:val="23"/>
        </w:numPr>
        <w:bidi w:val="0"/>
        <w:rPr>
          <w:rFonts w:hint="eastAsia"/>
          <w:lang w:val="en-US" w:eastAsia="zh-CN"/>
        </w:rPr>
      </w:pPr>
      <w:r>
        <w:rPr>
          <w:rFonts w:hint="eastAsia"/>
          <w:lang w:val="en-US" w:eastAsia="zh-CN"/>
        </w:rPr>
        <w:t>桩基成孔不得采用扩孔的施工方法，钻头直径不得小于设计桩径。桩基成孔后必须测量孔径、孔位，检查桩底岩层高程，只有确认满足设计要求后，才能灌注混凝土。各项规定和允许偏差如下：</w:t>
      </w:r>
    </w:p>
    <w:p>
      <w:pPr>
        <w:numPr>
          <w:ilvl w:val="0"/>
          <w:numId w:val="0"/>
        </w:numPr>
        <w:bidi w:val="0"/>
        <w:ind w:leftChars="200" w:firstLine="560" w:firstLineChars="200"/>
        <w:rPr>
          <w:rFonts w:hint="eastAsia"/>
          <w:lang w:val="en-US" w:eastAsia="zh-CN"/>
        </w:rPr>
      </w:pPr>
      <w:r>
        <w:rPr>
          <w:rFonts w:hint="eastAsia"/>
          <w:lang w:val="en-US" w:eastAsia="zh-CN"/>
        </w:rPr>
        <w:t>轴线偏差：单桩为 50 mm；</w:t>
      </w:r>
    </w:p>
    <w:p>
      <w:pPr>
        <w:bidi w:val="0"/>
        <w:ind w:firstLine="1120" w:firstLineChars="400"/>
        <w:rPr>
          <w:rFonts w:hint="eastAsia"/>
          <w:lang w:val="en-US" w:eastAsia="zh-CN"/>
        </w:rPr>
      </w:pPr>
      <w:r>
        <w:rPr>
          <w:rFonts w:hint="eastAsia"/>
          <w:lang w:val="en-US" w:eastAsia="zh-CN"/>
        </w:rPr>
        <w:t>倾斜度：小于 1/100；</w:t>
      </w:r>
    </w:p>
    <w:p>
      <w:pPr>
        <w:bidi w:val="0"/>
        <w:ind w:firstLine="1120" w:firstLineChars="400"/>
        <w:rPr>
          <w:rFonts w:hint="eastAsia"/>
          <w:lang w:val="en-US" w:eastAsia="zh-CN"/>
        </w:rPr>
      </w:pPr>
      <w:r>
        <w:rPr>
          <w:rFonts w:hint="eastAsia"/>
          <w:lang w:val="en-US" w:eastAsia="zh-CN"/>
        </w:rPr>
        <w:t>桩长：不短于设计值及嵌岩深度要求；</w:t>
      </w:r>
    </w:p>
    <w:p>
      <w:pPr>
        <w:bidi w:val="0"/>
        <w:ind w:firstLine="1120" w:firstLineChars="400"/>
        <w:rPr>
          <w:rFonts w:hint="eastAsia"/>
          <w:lang w:val="en-US" w:eastAsia="zh-CN"/>
        </w:rPr>
      </w:pPr>
      <w:r>
        <w:rPr>
          <w:rFonts w:hint="eastAsia"/>
          <w:lang w:val="en-US" w:eastAsia="zh-CN"/>
        </w:rPr>
        <w:t>沉渣厚度：摩擦桩 不大于 100 mm。</w:t>
      </w:r>
    </w:p>
    <w:p>
      <w:pPr>
        <w:numPr>
          <w:ilvl w:val="0"/>
          <w:numId w:val="23"/>
        </w:numPr>
        <w:bidi w:val="0"/>
        <w:rPr>
          <w:rFonts w:hint="eastAsia"/>
          <w:lang w:val="en-US" w:eastAsia="zh-CN"/>
        </w:rPr>
      </w:pPr>
      <w:r>
        <w:rPr>
          <w:rFonts w:hint="eastAsia"/>
          <w:lang w:val="en-US" w:eastAsia="zh-CN"/>
        </w:rPr>
        <w:t>钻孔桩应严格清孔，确保混凝土质量及桩基础承载力。为确保桩基质量，桩后应对基桩进行检测，桥梁桩基础检测频率按《广东省公路工程基桩检测工作实施意见》执行。</w:t>
      </w:r>
    </w:p>
    <w:p>
      <w:pPr>
        <w:numPr>
          <w:ilvl w:val="0"/>
          <w:numId w:val="23"/>
        </w:numPr>
        <w:bidi w:val="0"/>
        <w:rPr>
          <w:rFonts w:hint="eastAsia"/>
          <w:lang w:val="en-US" w:eastAsia="zh-CN"/>
        </w:rPr>
      </w:pPr>
      <w:r>
        <w:rPr>
          <w:rFonts w:hint="eastAsia"/>
          <w:lang w:val="en-US" w:eastAsia="zh-CN"/>
        </w:rPr>
        <w:t>桩基的受力主钢筋接头应错开布置，在任一接长（搭接、焊接、挤压接头）区段内，有接头的受力钢筋截面积占总面积的百分率，采用搭接时不大于 25%，采用焊接、挤压接头时不大于50%。</w:t>
      </w:r>
    </w:p>
    <w:p>
      <w:pPr>
        <w:numPr>
          <w:ilvl w:val="0"/>
          <w:numId w:val="23"/>
        </w:numPr>
        <w:bidi w:val="0"/>
        <w:rPr>
          <w:rFonts w:hint="eastAsia"/>
          <w:lang w:val="en-US" w:eastAsia="zh-CN"/>
        </w:rPr>
      </w:pPr>
      <w:r>
        <w:rPr>
          <w:rFonts w:hint="eastAsia"/>
          <w:lang w:val="en-US" w:eastAsia="zh-CN"/>
        </w:rPr>
        <w:t>盖梁同墩柱交界处应注意新老混凝土的结合，在浇筑盖梁混凝土前，应仔细清除柱头浮浆、凿毛接触面、冲刷干净。在盖梁浇筑前，立柱应用薄膜包裹，并用胶布密封固定，防止漏浆损坏立柱外观质量。</w:t>
      </w:r>
    </w:p>
    <w:p>
      <w:pPr>
        <w:numPr>
          <w:ilvl w:val="0"/>
          <w:numId w:val="23"/>
        </w:numPr>
        <w:bidi w:val="0"/>
        <w:rPr>
          <w:rFonts w:hint="eastAsia"/>
          <w:lang w:val="en-US" w:eastAsia="zh-CN"/>
        </w:rPr>
      </w:pPr>
      <w:r>
        <w:rPr>
          <w:rFonts w:hint="eastAsia"/>
          <w:lang w:val="en-US" w:eastAsia="zh-CN"/>
        </w:rPr>
        <w:t>台帽顶面搁置支座处必须平整、清洁、粗糙，并浇筑支座垫石。</w:t>
      </w:r>
    </w:p>
    <w:p>
      <w:pPr>
        <w:numPr>
          <w:ilvl w:val="0"/>
          <w:numId w:val="23"/>
        </w:numPr>
        <w:bidi w:val="0"/>
        <w:rPr>
          <w:rFonts w:hint="eastAsia"/>
          <w:lang w:val="en-US" w:eastAsia="zh-CN"/>
        </w:rPr>
      </w:pPr>
      <w:r>
        <w:rPr>
          <w:rFonts w:hint="eastAsia"/>
          <w:lang w:val="en-US" w:eastAsia="zh-CN"/>
        </w:rPr>
        <w:t>台帽上支座垫石位置和高程控制要求准确，垫石顶面必须保持平整、清洁。支座垫石标高误差不应超过±5mm，不能脱空松动。</w:t>
      </w:r>
    </w:p>
    <w:p>
      <w:pPr>
        <w:numPr>
          <w:ilvl w:val="0"/>
          <w:numId w:val="23"/>
        </w:numPr>
        <w:bidi w:val="0"/>
        <w:rPr>
          <w:rFonts w:hint="eastAsia"/>
          <w:lang w:val="en-US" w:eastAsia="zh-CN"/>
        </w:rPr>
      </w:pPr>
      <w:r>
        <w:rPr>
          <w:rFonts w:hint="eastAsia"/>
          <w:lang w:val="en-US" w:eastAsia="zh-CN"/>
        </w:rPr>
        <w:t>台前、台后及两侧锥坡均对称填筑，以防桥台单向受力，造成位移。</w:t>
      </w:r>
    </w:p>
    <w:p>
      <w:pPr>
        <w:numPr>
          <w:ilvl w:val="0"/>
          <w:numId w:val="23"/>
        </w:numPr>
        <w:bidi w:val="0"/>
        <w:rPr>
          <w:rFonts w:hint="eastAsia"/>
          <w:lang w:val="en-US" w:eastAsia="zh-CN"/>
        </w:rPr>
      </w:pPr>
      <w:r>
        <w:rPr>
          <w:rFonts w:hint="eastAsia"/>
          <w:lang w:val="en-US" w:eastAsia="zh-CN"/>
        </w:rPr>
        <w:t>填土分层夯实要求：分层厚度要求不大于 30cm；压实度要求大于 96%。</w:t>
      </w:r>
    </w:p>
    <w:p>
      <w:pPr>
        <w:numPr>
          <w:ilvl w:val="0"/>
          <w:numId w:val="23"/>
        </w:numPr>
        <w:bidi w:val="0"/>
        <w:rPr>
          <w:rFonts w:hint="eastAsia"/>
          <w:lang w:val="en-US" w:eastAsia="zh-CN"/>
        </w:rPr>
      </w:pPr>
      <w:r>
        <w:rPr>
          <w:rFonts w:hint="eastAsia"/>
          <w:lang w:val="en-US" w:eastAsia="zh-CN"/>
        </w:rPr>
        <w:t>为减少水平土压力，台后填土不得用大型机械推土筑高和填压的方法。</w:t>
      </w:r>
      <w:r>
        <w:rPr>
          <w:rFonts w:hint="eastAsia" w:ascii="宋体" w:hAnsi="宋体"/>
          <w:color w:val="000000"/>
          <w:sz w:val="28"/>
          <w:szCs w:val="28"/>
        </w:rPr>
        <w:t>台前、台后及两侧锥坡均对称填筑，以防桥台单向受力，造成位移。填土分层夯实要求：分层厚度20</w:t>
      </w:r>
      <w:r>
        <w:rPr>
          <w:rFonts w:ascii="宋体" w:hAnsi="宋体"/>
          <w:color w:val="000000"/>
          <w:sz w:val="28"/>
          <w:szCs w:val="28"/>
        </w:rPr>
        <w:t>cm</w:t>
      </w:r>
      <w:r>
        <w:rPr>
          <w:rFonts w:hint="eastAsia" w:ascii="宋体" w:hAnsi="宋体"/>
          <w:color w:val="000000"/>
          <w:sz w:val="28"/>
          <w:szCs w:val="28"/>
        </w:rPr>
        <w:t>；压实度要求大于95%。为减少水平土压力，台后填土不得用大型机械推土筑高和填压的方法。</w:t>
      </w:r>
    </w:p>
    <w:p>
      <w:pPr>
        <w:numPr>
          <w:ilvl w:val="0"/>
          <w:numId w:val="23"/>
        </w:numPr>
        <w:bidi w:val="0"/>
        <w:rPr>
          <w:rFonts w:hint="eastAsia"/>
          <w:lang w:val="en-US" w:eastAsia="zh-CN"/>
        </w:rPr>
      </w:pPr>
      <w:r>
        <w:rPr>
          <w:rFonts w:hint="eastAsia"/>
          <w:lang w:val="en-US" w:eastAsia="zh-CN"/>
        </w:rPr>
        <w:t>台背填料宜选用内摩擦角大、强度高、可压缩性小、压实快、透水性好的填料，如级配碎石、石屑、砂砾及中粗砂等”。</w:t>
      </w:r>
    </w:p>
    <w:p>
      <w:pPr>
        <w:numPr>
          <w:ilvl w:val="0"/>
          <w:numId w:val="23"/>
        </w:numPr>
        <w:bidi w:val="0"/>
        <w:rPr>
          <w:rFonts w:hint="eastAsia"/>
          <w:lang w:val="en-US" w:eastAsia="zh-CN"/>
        </w:rPr>
      </w:pPr>
      <w:r>
        <w:rPr>
          <w:rFonts w:hint="eastAsia"/>
          <w:lang w:val="en-US" w:eastAsia="zh-CN"/>
        </w:rPr>
        <w:t>台帽纵向钢筋应预先焊接形成骨架，浇筑混凝土前直接将骨架安装就位，再绑扎钢筋。</w:t>
      </w:r>
    </w:p>
    <w:p>
      <w:pPr>
        <w:numPr>
          <w:ilvl w:val="0"/>
          <w:numId w:val="23"/>
        </w:numPr>
        <w:bidi w:val="0"/>
        <w:rPr>
          <w:rFonts w:hint="eastAsia"/>
          <w:lang w:val="en-US" w:eastAsia="zh-CN"/>
        </w:rPr>
      </w:pPr>
      <w:r>
        <w:rPr>
          <w:rFonts w:hint="eastAsia"/>
          <w:lang w:val="en-US" w:eastAsia="zh-CN"/>
        </w:rPr>
        <w:t>浇筑桥台混凝土时，应保证桩柱与台帽混凝土的结合。其结合面除按图纸要求设置钢筋外，并应清除浮浆、凿毛接触面、冲刷干净，以保证其整体性。</w:t>
      </w:r>
    </w:p>
    <w:p>
      <w:pPr>
        <w:numPr>
          <w:ilvl w:val="0"/>
          <w:numId w:val="23"/>
        </w:numPr>
        <w:bidi w:val="0"/>
        <w:rPr>
          <w:rFonts w:hint="eastAsia"/>
          <w:lang w:val="en-US" w:eastAsia="zh-CN"/>
        </w:rPr>
      </w:pPr>
      <w:r>
        <w:rPr>
          <w:rFonts w:hint="eastAsia"/>
          <w:lang w:val="en-US" w:eastAsia="zh-CN"/>
        </w:rPr>
        <w:t>浇筑桥台背墙时，为保证伸缩缝宽度，根据实际纵坡，适当调整台背的倾角。</w:t>
      </w:r>
    </w:p>
    <w:p>
      <w:pPr>
        <w:numPr>
          <w:ilvl w:val="0"/>
          <w:numId w:val="23"/>
        </w:numPr>
        <w:bidi w:val="0"/>
        <w:rPr>
          <w:rFonts w:hint="eastAsia"/>
          <w:lang w:val="en-US" w:eastAsia="zh-CN"/>
        </w:rPr>
      </w:pPr>
      <w:r>
        <w:rPr>
          <w:rFonts w:hint="eastAsia"/>
          <w:lang w:val="en-US" w:eastAsia="zh-CN"/>
        </w:rPr>
        <w:t>浇筑桥台侧墙、背墙时注意相关预埋钢筋的预埋。</w:t>
      </w:r>
    </w:p>
    <w:p>
      <w:pPr>
        <w:numPr>
          <w:ilvl w:val="0"/>
          <w:numId w:val="23"/>
        </w:numPr>
        <w:bidi w:val="0"/>
        <w:rPr>
          <w:rFonts w:hint="eastAsia"/>
          <w:lang w:val="en-US" w:eastAsia="zh-CN"/>
        </w:rPr>
      </w:pPr>
      <w:r>
        <w:rPr>
          <w:rFonts w:hint="eastAsia"/>
          <w:lang w:val="en-US" w:eastAsia="zh-CN"/>
        </w:rPr>
        <w:t>桥台台帽、桥墩盖梁上的外侧防震挡块应在板梁架设就位后浇筑。</w:t>
      </w:r>
    </w:p>
    <w:p>
      <w:pPr>
        <w:numPr>
          <w:ilvl w:val="0"/>
          <w:numId w:val="23"/>
        </w:numPr>
        <w:bidi w:val="0"/>
      </w:pPr>
      <w:r>
        <w:rPr>
          <w:rFonts w:hint="eastAsia"/>
          <w:lang w:val="en-US" w:eastAsia="zh-CN"/>
        </w:rPr>
        <w:t>锥坡及护坡内填土应选用透水性好的材料，搭板下一定厚度填土应按设计要求填筑。</w:t>
      </w:r>
    </w:p>
    <w:p>
      <w:pPr>
        <w:numPr>
          <w:ilvl w:val="0"/>
          <w:numId w:val="23"/>
        </w:numPr>
        <w:bidi w:val="0"/>
      </w:pPr>
      <w:r>
        <w:rPr>
          <w:rFonts w:hint="eastAsia"/>
          <w:lang w:val="en-US" w:eastAsia="zh-CN"/>
        </w:rPr>
        <w:t>待台后填土沉降完毕后方可浇筑桥头搭板混凝土。</w:t>
      </w:r>
    </w:p>
    <w:p>
      <w:pPr>
        <w:pStyle w:val="4"/>
        <w:bidi w:val="0"/>
        <w:rPr>
          <w:rFonts w:hint="eastAsia"/>
          <w:lang w:val="en-US" w:eastAsia="zh-CN"/>
        </w:rPr>
      </w:pPr>
      <w:r>
        <w:rPr>
          <w:rFonts w:hint="eastAsia"/>
          <w:lang w:val="en-US" w:eastAsia="zh-CN"/>
        </w:rPr>
        <w:t>钢筋</w:t>
      </w:r>
    </w:p>
    <w:p>
      <w:pPr>
        <w:pStyle w:val="5"/>
        <w:numPr>
          <w:ilvl w:val="0"/>
          <w:numId w:val="24"/>
        </w:numPr>
        <w:bidi w:val="0"/>
        <w:rPr>
          <w:rFonts w:hint="eastAsia"/>
          <w:lang w:val="en-US" w:eastAsia="zh-CN"/>
        </w:rPr>
      </w:pPr>
      <w:r>
        <w:rPr>
          <w:rFonts w:hint="eastAsia"/>
          <w:lang w:val="en-US" w:eastAsia="zh-CN"/>
        </w:rPr>
        <w:t>钢筋接长时应避开钢筋应力较大处，并严格按施工技术规范接头错开布置。</w:t>
      </w:r>
    </w:p>
    <w:p>
      <w:pPr>
        <w:pStyle w:val="5"/>
        <w:numPr>
          <w:ilvl w:val="0"/>
          <w:numId w:val="24"/>
        </w:numPr>
        <w:bidi w:val="0"/>
        <w:rPr>
          <w:rFonts w:hint="eastAsia"/>
          <w:lang w:val="en-US" w:eastAsia="zh-CN"/>
        </w:rPr>
      </w:pPr>
      <w:r>
        <w:rPr>
          <w:rFonts w:hint="eastAsia"/>
          <w:lang w:val="en-US" w:eastAsia="zh-CN"/>
        </w:rPr>
        <w:t>钢筋的连接宜采用焊接接</w:t>
      </w:r>
      <w:r>
        <w:rPr>
          <w:rFonts w:hint="eastAsia" w:eastAsia="宋体" w:asciiTheme="minorAscii" w:hAnsiTheme="minorAscii" w:cstheme="minorBidi"/>
          <w:kern w:val="2"/>
          <w:sz w:val="28"/>
          <w:szCs w:val="24"/>
          <w:lang w:val="en-US" w:eastAsia="zh-CN" w:bidi="ar-SA"/>
        </w:rPr>
        <w:t>头或机械连接接头。绑扎接头仅当钢筋构造复杂施工困难时方可使用，绑扎接头的钢筋直径不宜大于 28mm，对轴心受压和偏心受压构件中的受压钢筋可不大于32mm；轴心受</w:t>
      </w:r>
      <w:r>
        <w:rPr>
          <w:rFonts w:hint="eastAsia"/>
          <w:lang w:val="en-US" w:eastAsia="zh-CN"/>
        </w:rPr>
        <w:t>拉和小偏心受拉构件不应采用绑扎接头。</w:t>
      </w:r>
    </w:p>
    <w:p>
      <w:pPr>
        <w:pStyle w:val="4"/>
        <w:bidi w:val="0"/>
        <w:rPr>
          <w:rFonts w:hint="eastAsia"/>
          <w:lang w:val="en-US" w:eastAsia="zh-CN"/>
        </w:rPr>
      </w:pPr>
      <w:r>
        <w:rPr>
          <w:rFonts w:hint="eastAsia"/>
          <w:lang w:val="en-US" w:eastAsia="zh-CN"/>
        </w:rPr>
        <w:t>混凝土</w:t>
      </w:r>
    </w:p>
    <w:p>
      <w:pPr>
        <w:bidi w:val="0"/>
        <w:rPr>
          <w:rFonts w:hint="eastAsia" w:ascii="Arial" w:hAnsi="Arial" w:eastAsia="宋体" w:cstheme="minorBidi"/>
          <w:kern w:val="2"/>
          <w:sz w:val="28"/>
          <w:szCs w:val="24"/>
          <w:lang w:val="en-US" w:eastAsia="zh-CN" w:bidi="ar-SA"/>
        </w:rPr>
      </w:pPr>
      <w:r>
        <w:rPr>
          <w:rFonts w:hint="eastAsia" w:ascii="Arial" w:hAnsi="Arial" w:eastAsia="宋体" w:cstheme="minorBidi"/>
          <w:kern w:val="2"/>
          <w:sz w:val="28"/>
          <w:szCs w:val="24"/>
          <w:lang w:val="en-US" w:eastAsia="zh-CN" w:bidi="ar-SA"/>
        </w:rPr>
        <w:t>混凝土须仔细研究确定施工工艺和选用的材料，进行高强混凝土最佳配合比设计与试验，并严格执行；为保证全桥颜色一致，建议采用同一厂家同一品牌的水泥。</w:t>
      </w:r>
    </w:p>
    <w:p>
      <w:pPr>
        <w:pStyle w:val="3"/>
        <w:bidi w:val="0"/>
        <w:rPr>
          <w:rFonts w:hint="eastAsia"/>
          <w:lang w:val="en-US" w:eastAsia="zh-CN"/>
        </w:rPr>
      </w:pPr>
      <w:r>
        <w:rPr>
          <w:rFonts w:hint="eastAsia"/>
          <w:lang w:val="en-US" w:eastAsia="zh-CN"/>
        </w:rPr>
        <w:t>桩基检测</w:t>
      </w:r>
    </w:p>
    <w:p>
      <w:pPr>
        <w:numPr>
          <w:ilvl w:val="0"/>
          <w:numId w:val="25"/>
        </w:numPr>
        <w:bidi w:val="0"/>
      </w:pPr>
      <w:r>
        <w:rPr>
          <w:rFonts w:hint="eastAsia"/>
          <w:lang w:val="en-US" w:eastAsia="zh-CN"/>
        </w:rPr>
        <w:t>依据：《广东省公路工程基桩检测工作实施意见》、《公路工程基桩动测技术规程》 JTGTF81-01-2004、《基桩低应变动力检测规程》 JGJ/T 93-95。</w:t>
      </w:r>
    </w:p>
    <w:p>
      <w:pPr>
        <w:numPr>
          <w:ilvl w:val="0"/>
          <w:numId w:val="25"/>
        </w:numPr>
        <w:bidi w:val="0"/>
        <w:rPr>
          <w:rFonts w:hint="default"/>
          <w:lang w:val="en-US"/>
        </w:rPr>
      </w:pPr>
      <w:r>
        <w:rPr>
          <w:rFonts w:hint="eastAsia"/>
          <w:lang w:val="en-US" w:eastAsia="zh-CN"/>
        </w:rPr>
        <w:t>成桩质量检测</w:t>
      </w:r>
    </w:p>
    <w:p>
      <w:pPr>
        <w:numPr>
          <w:ilvl w:val="0"/>
          <w:numId w:val="25"/>
        </w:numPr>
        <w:bidi w:val="0"/>
        <w:rPr>
          <w:rFonts w:hint="eastAsia"/>
          <w:lang w:val="en-US" w:eastAsia="zh-CN"/>
        </w:rPr>
      </w:pPr>
      <w:r>
        <w:rPr>
          <w:rFonts w:hint="eastAsia"/>
          <w:lang w:val="en-US" w:eastAsia="zh-CN"/>
        </w:rPr>
        <w:t>经工程建设各方共同确认，因试验设备或场地条件限制，无法进行承载力检测的桩基工程，必须采用钻孔抽芯法和超声波透射法两种方法进行成桩质量检测，检测数量规定如下：</w:t>
      </w:r>
    </w:p>
    <w:p>
      <w:pPr>
        <w:numPr>
          <w:ilvl w:val="0"/>
          <w:numId w:val="26"/>
        </w:numPr>
        <w:bidi w:val="0"/>
        <w:rPr>
          <w:rFonts w:hint="eastAsia"/>
          <w:lang w:val="en-US" w:eastAsia="zh-CN"/>
        </w:rPr>
      </w:pPr>
      <w:r>
        <w:rPr>
          <w:rFonts w:hint="eastAsia"/>
          <w:lang w:val="en-US" w:eastAsia="zh-CN"/>
        </w:rPr>
        <w:t>钻孔抽芯检测频率采用 1%～2%，同时不少于 2 根，群基桩础每墩不少于 1 根。</w:t>
      </w:r>
    </w:p>
    <w:p>
      <w:pPr>
        <w:numPr>
          <w:ilvl w:val="0"/>
          <w:numId w:val="26"/>
        </w:numPr>
        <w:bidi w:val="0"/>
        <w:rPr>
          <w:rFonts w:hint="eastAsia"/>
          <w:lang w:val="en-US" w:eastAsia="zh-CN"/>
        </w:rPr>
      </w:pPr>
      <w:r>
        <w:rPr>
          <w:rFonts w:hint="eastAsia"/>
          <w:lang w:val="en-US" w:eastAsia="zh-CN"/>
        </w:rPr>
        <w:t>超声波透射法的检测数量不少于总桩数的 30%，且不少于 10 根,谐振频率宜大于 25Hz。</w:t>
      </w:r>
    </w:p>
    <w:p>
      <w:pPr>
        <w:bidi w:val="0"/>
        <w:rPr>
          <w:rFonts w:hint="eastAsia" w:ascii="Arial" w:hAnsi="Arial" w:eastAsia="宋体" w:cstheme="minorBidi"/>
          <w:kern w:val="2"/>
          <w:sz w:val="28"/>
          <w:szCs w:val="24"/>
          <w:lang w:val="en-US" w:eastAsia="zh-CN" w:bidi="ar-SA"/>
        </w:rPr>
      </w:pPr>
      <w:r>
        <w:rPr>
          <w:rFonts w:hint="eastAsia" w:ascii="Arial" w:hAnsi="Arial" w:eastAsia="宋体" w:cstheme="minorBidi"/>
          <w:kern w:val="2"/>
          <w:sz w:val="28"/>
          <w:szCs w:val="24"/>
          <w:lang w:val="en-US" w:eastAsia="zh-CN" w:bidi="ar-SA"/>
        </w:rPr>
        <w:t>3、承载力检测</w:t>
      </w:r>
    </w:p>
    <w:p>
      <w:pPr>
        <w:bidi w:val="0"/>
        <w:rPr>
          <w:rFonts w:hint="eastAsia" w:ascii="Arial" w:hAnsi="Arial" w:eastAsia="宋体" w:cstheme="minorBidi"/>
          <w:kern w:val="2"/>
          <w:sz w:val="28"/>
          <w:szCs w:val="24"/>
          <w:lang w:val="en-US" w:eastAsia="zh-CN" w:bidi="ar-SA"/>
        </w:rPr>
      </w:pPr>
      <w:r>
        <w:rPr>
          <w:rFonts w:hint="eastAsia" w:ascii="Arial" w:hAnsi="Arial" w:eastAsia="宋体" w:cstheme="minorBidi"/>
          <w:kern w:val="2"/>
          <w:sz w:val="28"/>
          <w:szCs w:val="24"/>
          <w:lang w:val="en-US" w:eastAsia="zh-CN" w:bidi="ar-SA"/>
        </w:rPr>
        <w:t xml:space="preserve">有争议的桩基应进行静载试验。 </w:t>
      </w:r>
    </w:p>
    <w:p>
      <w:pPr>
        <w:pStyle w:val="3"/>
        <w:bidi w:val="0"/>
        <w:rPr>
          <w:rFonts w:hint="default"/>
          <w:lang w:val="en-US" w:eastAsia="zh-CN"/>
        </w:rPr>
      </w:pPr>
      <w:r>
        <w:rPr>
          <w:rFonts w:hint="eastAsia"/>
          <w:lang w:val="en-US" w:eastAsia="zh-CN"/>
        </w:rPr>
        <w:t>其他</w:t>
      </w:r>
    </w:p>
    <w:p>
      <w:pPr>
        <w:numPr>
          <w:ilvl w:val="0"/>
          <w:numId w:val="27"/>
        </w:numPr>
        <w:bidi w:val="0"/>
        <w:rPr>
          <w:rFonts w:hint="eastAsia"/>
        </w:rPr>
      </w:pPr>
      <w:r>
        <w:rPr>
          <w:rFonts w:hint="eastAsia"/>
        </w:rPr>
        <w:t>加强施工管理及施工质量的保护措施。</w:t>
      </w:r>
    </w:p>
    <w:p>
      <w:pPr>
        <w:numPr>
          <w:ilvl w:val="0"/>
          <w:numId w:val="27"/>
        </w:numPr>
        <w:bidi w:val="0"/>
        <w:rPr>
          <w:rFonts w:hint="eastAsia"/>
        </w:rPr>
      </w:pPr>
      <w:r>
        <w:rPr>
          <w:rFonts w:hint="eastAsia"/>
        </w:rPr>
        <w:t>对桥梁结构定期检查维修。</w:t>
      </w:r>
    </w:p>
    <w:p>
      <w:pPr>
        <w:numPr>
          <w:ilvl w:val="0"/>
          <w:numId w:val="27"/>
        </w:numPr>
        <w:bidi w:val="0"/>
        <w:rPr>
          <w:rFonts w:hint="eastAsia"/>
        </w:rPr>
      </w:pPr>
      <w:r>
        <w:rPr>
          <w:rFonts w:hint="eastAsia"/>
        </w:rPr>
        <w:t>加强桥上运营车辆的管理工作，防止超过设计标准车辆上桥通行。</w:t>
      </w:r>
    </w:p>
    <w:p>
      <w:pPr>
        <w:numPr>
          <w:ilvl w:val="0"/>
          <w:numId w:val="27"/>
        </w:numPr>
        <w:bidi w:val="0"/>
        <w:rPr>
          <w:rFonts w:hint="eastAsia"/>
        </w:rPr>
      </w:pPr>
      <w:r>
        <w:rPr>
          <w:rFonts w:hint="eastAsia"/>
        </w:rPr>
        <w:t>钢筋混凝土结构钢筋绑扎时须采取切实可行控制措施，保证钢筋保护层厚度。预制结构不允许出现负误差（实际钢筋保护层厚度严格不小于设计值，正误差不大于 5mm）；现浇结构正负误差不大于 5mm。</w:t>
      </w:r>
    </w:p>
    <w:p>
      <w:pPr>
        <w:numPr>
          <w:ilvl w:val="0"/>
          <w:numId w:val="27"/>
        </w:numPr>
        <w:bidi w:val="0"/>
        <w:rPr>
          <w:rFonts w:hint="eastAsia"/>
        </w:rPr>
      </w:pPr>
      <w:r>
        <w:rPr>
          <w:rFonts w:hint="eastAsia"/>
        </w:rPr>
        <w:t>应注意桥梁的斜交方向，具体桥梁应根据桥型布置图所示的斜交角和方向进行箱梁预制，严防反方向预制。</w:t>
      </w:r>
    </w:p>
    <w:p>
      <w:pPr>
        <w:numPr>
          <w:ilvl w:val="0"/>
          <w:numId w:val="27"/>
        </w:numPr>
        <w:bidi w:val="0"/>
        <w:rPr>
          <w:rFonts w:hint="default"/>
          <w:lang w:val="en-US" w:eastAsia="zh-CN"/>
        </w:rPr>
      </w:pPr>
      <w:r>
        <w:rPr>
          <w:rFonts w:hint="eastAsia"/>
        </w:rPr>
        <w:t>其它未尽事宜，应严格按照设计图纸及有关现行标准、规范执行。</w:t>
      </w:r>
      <w:r>
        <w:t xml:space="preserve"> </w:t>
      </w:r>
    </w:p>
    <w:p>
      <w:pPr>
        <w:rPr>
          <w:rFonts w:hint="eastAsia"/>
          <w:lang w:val="en-US" w:eastAsia="zh-CN"/>
        </w:rPr>
      </w:pPr>
    </w:p>
    <w:p>
      <w:pPr>
        <w:bidi w:val="0"/>
        <w:ind w:left="0" w:leftChars="0" w:firstLine="0" w:firstLineChars="0"/>
        <w:rPr>
          <w:rFonts w:hint="default"/>
          <w:lang w:val="en-US" w:eastAsia="zh-CN"/>
        </w:rPr>
      </w:pPr>
    </w:p>
    <w:sectPr>
      <w:headerReference r:id="rId5" w:type="default"/>
      <w:footerReference r:id="rId6" w:type="default"/>
      <w:pgSz w:w="23811" w:h="16838" w:orient="landscape"/>
      <w:pgMar w:top="1701" w:right="1440" w:bottom="1134" w:left="1984" w:header="851" w:footer="992" w:gutter="0"/>
      <w:cols w:equalWidth="0" w:num="2">
        <w:col w:w="9709" w:space="425"/>
        <w:col w:w="10253"/>
      </w:cols>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18720" w:firstLineChars="10400"/>
      <w:rPr>
        <w:rFonts w:hint="eastAsia" w:ascii="宋体" w:hAnsi="宋体" w:eastAsia="宋体" w:cs="宋体"/>
        <w:sz w:val="18"/>
        <w:szCs w:val="18"/>
        <w:lang w:val="en-US" w:eastAsia="zh-CN"/>
      </w:rPr>
    </w:pPr>
    <w:r>
      <w:rPr>
        <w:sz w:val="18"/>
        <w:szCs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8"/>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rFonts w:hint="eastAsia" w:ascii="宋体" w:hAnsi="宋体" w:eastAsia="宋体" w:cs="宋体"/>
        <w:sz w:val="18"/>
        <w:szCs w:val="18"/>
        <w:lang w:val="en-US" w:eastAsia="zh-CN"/>
      </w:rPr>
      <w:t>共1</w:t>
    </w:r>
    <w:r>
      <w:rPr>
        <w:rFonts w:hint="eastAsia" w:ascii="宋体" w:hAnsi="宋体" w:cs="宋体"/>
        <w:sz w:val="18"/>
        <w:szCs w:val="18"/>
        <w:lang w:val="en-US" w:eastAsia="zh-CN"/>
      </w:rPr>
      <w:t>2</w:t>
    </w:r>
    <w:r>
      <w:rPr>
        <w:rFonts w:hint="eastAsia" w:ascii="宋体" w:hAnsi="宋体" w:eastAsia="宋体" w:cs="宋体"/>
        <w:sz w:val="18"/>
        <w:szCs w:val="18"/>
        <w:lang w:val="en-US" w:eastAsia="zh-CN"/>
      </w:rPr>
      <w:t>页</w:t>
    </w:r>
  </w:p>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0" w:leftChars="0" w:firstLine="0" w:firstLineChars="0"/>
      <w:jc w:val="both"/>
    </w:pPr>
    <w:r>
      <w:rPr>
        <w:rFonts w:hint="eastAsia" w:ascii="宋体" w:hAnsi="宋体" w:eastAsia="宋体" w:cs="宋体"/>
        <w:sz w:val="24"/>
        <w:szCs w:val="24"/>
        <w:lang w:val="en-US" w:eastAsia="zh-CN"/>
      </w:rPr>
      <w:t xml:space="preserve">叠景路改造工程                  </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叠景路</w:t>
    </w:r>
    <w:r>
      <w:rPr>
        <w:rFonts w:hint="eastAsia" w:ascii="宋体" w:hAnsi="宋体" w:cs="宋体"/>
        <w:sz w:val="24"/>
        <w:szCs w:val="24"/>
        <w:lang w:val="en-US" w:eastAsia="zh-CN"/>
      </w:rPr>
      <w:t>小</w:t>
    </w:r>
    <w:r>
      <w:rPr>
        <w:rFonts w:hint="eastAsia" w:ascii="宋体" w:hAnsi="宋体" w:eastAsia="宋体" w:cs="宋体"/>
        <w:sz w:val="24"/>
        <w:szCs w:val="24"/>
        <w:lang w:val="en-US" w:eastAsia="zh-CN"/>
      </w:rPr>
      <w:t>桥施工图设计说明                                                                   Q</w:t>
    </w:r>
    <w:r>
      <w:rPr>
        <w:rFonts w:hint="eastAsia" w:ascii="宋体" w:hAnsi="宋体" w:cs="宋体"/>
        <w:sz w:val="24"/>
        <w:szCs w:val="24"/>
        <w:lang w:val="en-US" w:eastAsia="zh-CN"/>
      </w:rPr>
      <w:t>L</w:t>
    </w:r>
    <w:r>
      <w:rPr>
        <w:rFonts w:hint="eastAsia" w:ascii="宋体" w:hAnsi="宋体" w:eastAsia="宋体" w:cs="宋体"/>
        <w:sz w:val="24"/>
        <w:szCs w:val="24"/>
        <w:lang w:val="en-US" w:eastAsia="zh-CN"/>
      </w:rPr>
      <w:t>-</w:t>
    </w:r>
    <w:r>
      <w:rPr>
        <w:rFonts w:hint="eastAsia" w:ascii="宋体" w:hAnsi="宋体" w:cs="宋体"/>
        <w:sz w:val="24"/>
        <w:szCs w:val="24"/>
        <w:lang w:val="en-US" w:eastAsia="zh-CN"/>
      </w:rPr>
      <w:t>3</w:t>
    </w:r>
    <w:r>
      <w:rPr>
        <w:rFonts w:hint="eastAsia" w:ascii="宋体" w:hAnsi="宋体" w:eastAsia="宋体" w:cs="宋体"/>
        <w:sz w:val="24"/>
        <w:szCs w:val="24"/>
        <w:lang w:val="en-US" w:eastAsia="zh-CN"/>
      </w:rPr>
      <w:t>-01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4B22E8"/>
    <w:multiLevelType w:val="singleLevel"/>
    <w:tmpl w:val="894B22E8"/>
    <w:lvl w:ilvl="0" w:tentative="0">
      <w:start w:val="1"/>
      <w:numFmt w:val="decimal"/>
      <w:lvlText w:val="%1."/>
      <w:lvlJc w:val="left"/>
      <w:pPr>
        <w:ind w:left="425" w:hanging="425"/>
      </w:pPr>
      <w:rPr>
        <w:rFonts w:hint="default"/>
      </w:rPr>
    </w:lvl>
  </w:abstractNum>
  <w:abstractNum w:abstractNumId="1">
    <w:nsid w:val="A5A32243"/>
    <w:multiLevelType w:val="singleLevel"/>
    <w:tmpl w:val="A5A32243"/>
    <w:lvl w:ilvl="0" w:tentative="0">
      <w:start w:val="1"/>
      <w:numFmt w:val="decimal"/>
      <w:lvlText w:val="%1."/>
      <w:lvlJc w:val="left"/>
      <w:pPr>
        <w:tabs>
          <w:tab w:val="left" w:pos="312"/>
        </w:tabs>
      </w:pPr>
    </w:lvl>
  </w:abstractNum>
  <w:abstractNum w:abstractNumId="2">
    <w:nsid w:val="B0557BFF"/>
    <w:multiLevelType w:val="singleLevel"/>
    <w:tmpl w:val="B0557BFF"/>
    <w:lvl w:ilvl="0" w:tentative="0">
      <w:start w:val="1"/>
      <w:numFmt w:val="chineseCounting"/>
      <w:pStyle w:val="4"/>
      <w:suff w:val="nothing"/>
      <w:lvlText w:val="（%1）"/>
      <w:lvlJc w:val="left"/>
      <w:pPr>
        <w:ind w:left="0" w:firstLine="420"/>
      </w:pPr>
      <w:rPr>
        <w:rFonts w:hint="eastAsia"/>
      </w:rPr>
    </w:lvl>
  </w:abstractNum>
  <w:abstractNum w:abstractNumId="3">
    <w:nsid w:val="B90FE52B"/>
    <w:multiLevelType w:val="singleLevel"/>
    <w:tmpl w:val="B90FE52B"/>
    <w:lvl w:ilvl="0" w:tentative="0">
      <w:start w:val="1"/>
      <w:numFmt w:val="lowerLetter"/>
      <w:lvlText w:val="%1."/>
      <w:lvlJc w:val="left"/>
      <w:pPr>
        <w:ind w:left="425" w:hanging="425"/>
      </w:pPr>
      <w:rPr>
        <w:rFonts w:hint="default"/>
      </w:rPr>
    </w:lvl>
  </w:abstractNum>
  <w:abstractNum w:abstractNumId="4">
    <w:nsid w:val="BED9BF36"/>
    <w:multiLevelType w:val="singleLevel"/>
    <w:tmpl w:val="BED9BF36"/>
    <w:lvl w:ilvl="0" w:tentative="0">
      <w:start w:val="1"/>
      <w:numFmt w:val="decimal"/>
      <w:lvlText w:val="%1)"/>
      <w:lvlJc w:val="left"/>
      <w:pPr>
        <w:ind w:left="425" w:hanging="425"/>
      </w:pPr>
      <w:rPr>
        <w:rFonts w:hint="default"/>
      </w:rPr>
    </w:lvl>
  </w:abstractNum>
  <w:abstractNum w:abstractNumId="5">
    <w:nsid w:val="BF542B79"/>
    <w:multiLevelType w:val="singleLevel"/>
    <w:tmpl w:val="BF542B79"/>
    <w:lvl w:ilvl="0" w:tentative="0">
      <w:start w:val="1"/>
      <w:numFmt w:val="lowerLetter"/>
      <w:lvlText w:val="%1."/>
      <w:lvlJc w:val="left"/>
      <w:pPr>
        <w:ind w:left="425" w:hanging="425"/>
      </w:pPr>
      <w:rPr>
        <w:rFonts w:hint="default"/>
      </w:rPr>
    </w:lvl>
  </w:abstractNum>
  <w:abstractNum w:abstractNumId="6">
    <w:nsid w:val="038E611F"/>
    <w:multiLevelType w:val="singleLevel"/>
    <w:tmpl w:val="038E611F"/>
    <w:lvl w:ilvl="0" w:tentative="0">
      <w:start w:val="1"/>
      <w:numFmt w:val="decimal"/>
      <w:pStyle w:val="5"/>
      <w:suff w:val="nothing"/>
      <w:lvlText w:val="%1．"/>
      <w:lvlJc w:val="left"/>
      <w:pPr>
        <w:ind w:left="0" w:firstLine="400"/>
      </w:pPr>
      <w:rPr>
        <w:rFonts w:hint="default"/>
      </w:rPr>
    </w:lvl>
  </w:abstractNum>
  <w:abstractNum w:abstractNumId="7">
    <w:nsid w:val="1CCCDE1A"/>
    <w:multiLevelType w:val="singleLevel"/>
    <w:tmpl w:val="1CCCDE1A"/>
    <w:lvl w:ilvl="0" w:tentative="0">
      <w:start w:val="1"/>
      <w:numFmt w:val="lowerLetter"/>
      <w:lvlText w:val="%1."/>
      <w:lvlJc w:val="left"/>
      <w:pPr>
        <w:ind w:left="425" w:hanging="425"/>
      </w:pPr>
      <w:rPr>
        <w:rFonts w:hint="default"/>
      </w:rPr>
    </w:lvl>
  </w:abstractNum>
  <w:abstractNum w:abstractNumId="8">
    <w:nsid w:val="1E3D5EAE"/>
    <w:multiLevelType w:val="singleLevel"/>
    <w:tmpl w:val="1E3D5EAE"/>
    <w:lvl w:ilvl="0" w:tentative="0">
      <w:start w:val="1"/>
      <w:numFmt w:val="lowerLetter"/>
      <w:lvlText w:val="%1."/>
      <w:lvlJc w:val="left"/>
      <w:pPr>
        <w:ind w:left="425" w:hanging="425"/>
      </w:pPr>
      <w:rPr>
        <w:rFonts w:hint="default"/>
      </w:rPr>
    </w:lvl>
  </w:abstractNum>
  <w:abstractNum w:abstractNumId="9">
    <w:nsid w:val="2DADE252"/>
    <w:multiLevelType w:val="singleLevel"/>
    <w:tmpl w:val="2DADE252"/>
    <w:lvl w:ilvl="0" w:tentative="0">
      <w:start w:val="1"/>
      <w:numFmt w:val="lowerLetter"/>
      <w:lvlText w:val="%1."/>
      <w:lvlJc w:val="left"/>
      <w:pPr>
        <w:ind w:left="425" w:hanging="425"/>
      </w:pPr>
      <w:rPr>
        <w:rFonts w:hint="default"/>
      </w:rPr>
    </w:lvl>
  </w:abstractNum>
  <w:abstractNum w:abstractNumId="10">
    <w:nsid w:val="3C49CD84"/>
    <w:multiLevelType w:val="singleLevel"/>
    <w:tmpl w:val="3C49CD84"/>
    <w:lvl w:ilvl="0" w:tentative="0">
      <w:start w:val="1"/>
      <w:numFmt w:val="lowerLetter"/>
      <w:lvlText w:val="%1."/>
      <w:lvlJc w:val="left"/>
      <w:pPr>
        <w:ind w:left="425" w:hanging="425"/>
      </w:pPr>
      <w:rPr>
        <w:rFonts w:hint="default"/>
      </w:rPr>
    </w:lvl>
  </w:abstractNum>
  <w:abstractNum w:abstractNumId="11">
    <w:nsid w:val="4FD53581"/>
    <w:multiLevelType w:val="singleLevel"/>
    <w:tmpl w:val="4FD53581"/>
    <w:lvl w:ilvl="0" w:tentative="0">
      <w:start w:val="1"/>
      <w:numFmt w:val="decimal"/>
      <w:lvlText w:val="%1)"/>
      <w:lvlJc w:val="left"/>
      <w:pPr>
        <w:ind w:left="425" w:hanging="425"/>
      </w:pPr>
      <w:rPr>
        <w:rFonts w:hint="default"/>
      </w:rPr>
    </w:lvl>
  </w:abstractNum>
  <w:abstractNum w:abstractNumId="12">
    <w:nsid w:val="688EAE69"/>
    <w:multiLevelType w:val="singleLevel"/>
    <w:tmpl w:val="688EAE69"/>
    <w:lvl w:ilvl="0" w:tentative="0">
      <w:start w:val="1"/>
      <w:numFmt w:val="lowerLetter"/>
      <w:lvlText w:val="%1."/>
      <w:lvlJc w:val="left"/>
      <w:pPr>
        <w:ind w:left="425" w:hanging="425"/>
      </w:pPr>
      <w:rPr>
        <w:rFonts w:hint="default"/>
      </w:rPr>
    </w:lvl>
  </w:abstractNum>
  <w:abstractNum w:abstractNumId="13">
    <w:nsid w:val="7F283D2D"/>
    <w:multiLevelType w:val="singleLevel"/>
    <w:tmpl w:val="7F283D2D"/>
    <w:lvl w:ilvl="0" w:tentative="0">
      <w:start w:val="1"/>
      <w:numFmt w:val="chineseCounting"/>
      <w:pStyle w:val="3"/>
      <w:suff w:val="nothing"/>
      <w:lvlText w:val="%1、"/>
      <w:lvlJc w:val="left"/>
      <w:pPr>
        <w:ind w:left="0" w:firstLine="420"/>
      </w:pPr>
      <w:rPr>
        <w:rFonts w:hint="eastAsia"/>
      </w:rPr>
    </w:lvl>
  </w:abstractNum>
  <w:num w:numId="1">
    <w:abstractNumId w:val="13"/>
  </w:num>
  <w:num w:numId="2">
    <w:abstractNumId w:val="2"/>
  </w:num>
  <w:num w:numId="3">
    <w:abstractNumId w:val="6"/>
  </w:num>
  <w:num w:numId="4">
    <w:abstractNumId w:val="2"/>
    <w:lvlOverride w:ilvl="0">
      <w:startOverride w:val="1"/>
    </w:lvlOverride>
  </w:num>
  <w:num w:numId="5">
    <w:abstractNumId w:val="6"/>
    <w:lvlOverride w:ilvl="0">
      <w:startOverride w:val="1"/>
    </w:lvlOverride>
  </w:num>
  <w:num w:numId="6">
    <w:abstractNumId w:val="2"/>
    <w:lvlOverride w:ilvl="0">
      <w:startOverride w:val="1"/>
    </w:lvlOverride>
  </w:num>
  <w:num w:numId="7">
    <w:abstractNumId w:val="4"/>
  </w:num>
  <w:num w:numId="8">
    <w:abstractNumId w:val="11"/>
  </w:num>
  <w:num w:numId="9">
    <w:abstractNumId w:val="2"/>
    <w:lvlOverride w:ilvl="0">
      <w:startOverride w:val="1"/>
    </w:lvlOverride>
  </w:num>
  <w:num w:numId="10">
    <w:abstractNumId w:val="1"/>
  </w:num>
  <w:num w:numId="11">
    <w:abstractNumId w:val="2"/>
    <w:lvlOverride w:ilvl="0">
      <w:startOverride w:val="1"/>
    </w:lvlOverride>
  </w:num>
  <w:num w:numId="12">
    <w:abstractNumId w:val="6"/>
    <w:lvlOverride w:ilvl="0">
      <w:startOverride w:val="1"/>
    </w:lvlOverride>
  </w:num>
  <w:num w:numId="13">
    <w:abstractNumId w:val="6"/>
    <w:lvlOverride w:ilvl="0">
      <w:startOverride w:val="1"/>
    </w:lvlOverride>
  </w:num>
  <w:num w:numId="14">
    <w:abstractNumId w:val="6"/>
    <w:lvlOverride w:ilvl="0">
      <w:startOverride w:val="1"/>
    </w:lvlOverride>
  </w:num>
  <w:num w:numId="15">
    <w:abstractNumId w:val="2"/>
    <w:lvlOverride w:ilvl="0">
      <w:startOverride w:val="1"/>
    </w:lvlOverride>
  </w:num>
  <w:num w:numId="16">
    <w:abstractNumId w:val="6"/>
    <w:lvlOverride w:ilvl="0">
      <w:startOverride w:val="1"/>
    </w:lvlOverride>
  </w:num>
  <w:num w:numId="17">
    <w:abstractNumId w:val="9"/>
  </w:num>
  <w:num w:numId="18">
    <w:abstractNumId w:val="8"/>
  </w:num>
  <w:num w:numId="19">
    <w:abstractNumId w:val="12"/>
  </w:num>
  <w:num w:numId="20">
    <w:abstractNumId w:val="3"/>
  </w:num>
  <w:num w:numId="21">
    <w:abstractNumId w:val="5"/>
  </w:num>
  <w:num w:numId="22">
    <w:abstractNumId w:val="10"/>
  </w:num>
  <w:num w:numId="23">
    <w:abstractNumId w:val="0"/>
  </w:num>
  <w:num w:numId="24">
    <w:abstractNumId w:val="6"/>
    <w:lvlOverride w:ilvl="0">
      <w:startOverride w:val="1"/>
    </w:lvlOverride>
  </w:num>
  <w:num w:numId="25">
    <w:abstractNumId w:val="6"/>
    <w:lvlOverride w:ilvl="0">
      <w:startOverride w:val="1"/>
    </w:lvlOverride>
  </w:num>
  <w:num w:numId="26">
    <w:abstractNumId w:val="7"/>
  </w:num>
  <w:num w:numId="27">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ZjZDc1ZGJlNmQ3ZGE4NGQyM2UwYTY5ZDVjN2I0M2MifQ=="/>
  </w:docVars>
  <w:rsids>
    <w:rsidRoot w:val="3C491399"/>
    <w:rsid w:val="04155920"/>
    <w:rsid w:val="0A670BFC"/>
    <w:rsid w:val="0BBF3226"/>
    <w:rsid w:val="0FD560C1"/>
    <w:rsid w:val="140D6614"/>
    <w:rsid w:val="14D317E3"/>
    <w:rsid w:val="16606469"/>
    <w:rsid w:val="1794310B"/>
    <w:rsid w:val="1A8B2B53"/>
    <w:rsid w:val="1AA8044D"/>
    <w:rsid w:val="1AFB6A52"/>
    <w:rsid w:val="20AD0046"/>
    <w:rsid w:val="23D57F2C"/>
    <w:rsid w:val="2619073B"/>
    <w:rsid w:val="31570966"/>
    <w:rsid w:val="32225C91"/>
    <w:rsid w:val="3747116B"/>
    <w:rsid w:val="38A96D49"/>
    <w:rsid w:val="3A6A698E"/>
    <w:rsid w:val="3C491399"/>
    <w:rsid w:val="3CD94326"/>
    <w:rsid w:val="3EFB0C93"/>
    <w:rsid w:val="3F6725C5"/>
    <w:rsid w:val="446C5B13"/>
    <w:rsid w:val="49A4440B"/>
    <w:rsid w:val="4AC36325"/>
    <w:rsid w:val="4EE50734"/>
    <w:rsid w:val="522500B1"/>
    <w:rsid w:val="57EE7798"/>
    <w:rsid w:val="5A1D21A0"/>
    <w:rsid w:val="5C583E75"/>
    <w:rsid w:val="5D194CE0"/>
    <w:rsid w:val="615A14AD"/>
    <w:rsid w:val="651026AD"/>
    <w:rsid w:val="66027C36"/>
    <w:rsid w:val="66285F62"/>
    <w:rsid w:val="67002A3B"/>
    <w:rsid w:val="6A120A76"/>
    <w:rsid w:val="6AF93273"/>
    <w:rsid w:val="6F0661B8"/>
    <w:rsid w:val="737D3E5F"/>
    <w:rsid w:val="7ECB67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723" w:firstLineChars="200"/>
      <w:jc w:val="left"/>
    </w:pPr>
    <w:rPr>
      <w:rFonts w:eastAsia="宋体" w:asciiTheme="minorAscii" w:hAnsiTheme="minorAscii" w:cstheme="minorBidi"/>
      <w:kern w:val="2"/>
      <w:sz w:val="28"/>
      <w:szCs w:val="24"/>
      <w:lang w:val="en-US" w:eastAsia="zh-CN" w:bidi="ar-SA"/>
    </w:rPr>
  </w:style>
  <w:style w:type="paragraph" w:styleId="2">
    <w:name w:val="heading 1"/>
    <w:basedOn w:val="1"/>
    <w:next w:val="1"/>
    <w:link w:val="19"/>
    <w:qFormat/>
    <w:uiPriority w:val="0"/>
    <w:pPr>
      <w:keepNext/>
      <w:keepLines/>
      <w:spacing w:before="340" w:beforeLines="0" w:beforeAutospacing="0" w:after="330" w:afterLines="0" w:afterAutospacing="0" w:line="360" w:lineRule="auto"/>
      <w:jc w:val="center"/>
      <w:outlineLvl w:val="0"/>
    </w:pPr>
    <w:rPr>
      <w:rFonts w:eastAsia="宋体" w:asciiTheme="minorAscii" w:hAnsiTheme="minorAscii"/>
      <w:b/>
      <w:kern w:val="44"/>
      <w:sz w:val="36"/>
    </w:rPr>
  </w:style>
  <w:style w:type="paragraph" w:styleId="3">
    <w:name w:val="heading 2"/>
    <w:basedOn w:val="1"/>
    <w:next w:val="1"/>
    <w:link w:val="16"/>
    <w:unhideWhenUsed/>
    <w:qFormat/>
    <w:uiPriority w:val="0"/>
    <w:pPr>
      <w:keepNext/>
      <w:keepLines/>
      <w:numPr>
        <w:ilvl w:val="0"/>
        <w:numId w:val="1"/>
      </w:numPr>
      <w:spacing w:before="260" w:beforeLines="0" w:beforeAutospacing="0" w:after="260" w:afterLines="0" w:afterAutospacing="0" w:line="288" w:lineRule="auto"/>
      <w:ind w:firstLine="723" w:firstLineChars="200"/>
      <w:jc w:val="left"/>
      <w:outlineLvl w:val="1"/>
    </w:pPr>
    <w:rPr>
      <w:rFonts w:ascii="Arial" w:hAnsi="Arial"/>
      <w:b/>
      <w:sz w:val="32"/>
    </w:rPr>
  </w:style>
  <w:style w:type="paragraph" w:styleId="4">
    <w:name w:val="heading 3"/>
    <w:basedOn w:val="1"/>
    <w:next w:val="1"/>
    <w:link w:val="17"/>
    <w:unhideWhenUsed/>
    <w:qFormat/>
    <w:uiPriority w:val="0"/>
    <w:pPr>
      <w:keepNext/>
      <w:keepLines/>
      <w:numPr>
        <w:ilvl w:val="0"/>
        <w:numId w:val="2"/>
      </w:numPr>
      <w:spacing w:before="260" w:beforeLines="0" w:beforeAutospacing="0" w:after="260" w:afterLines="0" w:afterAutospacing="0" w:line="240" w:lineRule="auto"/>
      <w:ind w:firstLine="723" w:firstLineChars="200"/>
      <w:jc w:val="left"/>
      <w:outlineLvl w:val="2"/>
    </w:pPr>
  </w:style>
  <w:style w:type="paragraph" w:styleId="5">
    <w:name w:val="heading 4"/>
    <w:basedOn w:val="1"/>
    <w:next w:val="1"/>
    <w:link w:val="15"/>
    <w:unhideWhenUsed/>
    <w:qFormat/>
    <w:uiPriority w:val="0"/>
    <w:pPr>
      <w:keepNext/>
      <w:keepLines/>
      <w:numPr>
        <w:ilvl w:val="0"/>
        <w:numId w:val="3"/>
      </w:numPr>
      <w:spacing w:before="280" w:beforeLines="0" w:beforeAutospacing="0" w:after="290" w:afterLines="0" w:afterAutospacing="0" w:line="240" w:lineRule="auto"/>
      <w:outlineLvl w:val="3"/>
    </w:pPr>
    <w:rPr>
      <w:rFonts w:ascii="Arial" w:hAnsi="Arial"/>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6">
    <w:name w:val="Body Text 3"/>
    <w:basedOn w:val="1"/>
    <w:qFormat/>
    <w:uiPriority w:val="0"/>
    <w:pPr>
      <w:spacing w:line="360" w:lineRule="auto"/>
    </w:pPr>
    <w:rPr>
      <w:color w:val="FF0000"/>
    </w:rPr>
  </w:style>
  <w:style w:type="paragraph" w:styleId="7">
    <w:name w:val="Body Text"/>
    <w:basedOn w:val="1"/>
    <w:qFormat/>
    <w:uiPriority w:val="0"/>
    <w:pPr>
      <w:spacing w:line="360" w:lineRule="auto"/>
    </w:pPr>
    <w:rPr>
      <w:rFonts w:ascii="宋体"/>
      <w:sz w:val="28"/>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99"/>
    <w:pPr>
      <w:pBdr>
        <w:bottom w:val="single" w:color="auto" w:sz="6" w:space="1"/>
      </w:pBdr>
      <w:tabs>
        <w:tab w:val="center" w:pos="4153"/>
        <w:tab w:val="right" w:pos="8306"/>
      </w:tabs>
      <w:snapToGrid w:val="0"/>
      <w:jc w:val="center"/>
    </w:pPr>
    <w:rPr>
      <w:sz w:val="18"/>
      <w:szCs w:val="18"/>
    </w:rPr>
  </w:style>
  <w:style w:type="character" w:customStyle="1" w:styleId="12">
    <w:name w:val="fontstyle01"/>
    <w:basedOn w:val="11"/>
    <w:qFormat/>
    <w:uiPriority w:val="0"/>
    <w:rPr>
      <w:rFonts w:hint="eastAsia" w:ascii="宋体" w:hAnsi="宋体" w:eastAsia="宋体" w:cs="宋体"/>
      <w:color w:val="000000"/>
      <w:sz w:val="24"/>
      <w:szCs w:val="24"/>
    </w:rPr>
  </w:style>
  <w:style w:type="paragraph" w:customStyle="1" w:styleId="13">
    <w:name w:val="样式 宋体 小四 左侧:  1.01 厘米 行距: 1.5 倍行距"/>
    <w:basedOn w:val="1"/>
    <w:qFormat/>
    <w:uiPriority w:val="0"/>
    <w:pPr>
      <w:spacing w:line="360" w:lineRule="auto"/>
      <w:ind w:firstLine="200" w:firstLineChars="200"/>
    </w:pPr>
    <w:rPr>
      <w:rFonts w:ascii="宋体" w:hAnsi="宋体" w:cs="宋体"/>
      <w:sz w:val="24"/>
      <w:szCs w:val="20"/>
    </w:rPr>
  </w:style>
  <w:style w:type="paragraph" w:customStyle="1" w:styleId="14">
    <w:name w:val="纯文本1"/>
    <w:basedOn w:val="1"/>
    <w:qFormat/>
    <w:uiPriority w:val="0"/>
    <w:pPr>
      <w:autoSpaceDE w:val="0"/>
      <w:autoSpaceDN w:val="0"/>
      <w:adjustRightInd w:val="0"/>
      <w:spacing w:line="312" w:lineRule="atLeast"/>
    </w:pPr>
    <w:rPr>
      <w:rFonts w:ascii="宋体"/>
      <w:kern w:val="0"/>
    </w:rPr>
  </w:style>
  <w:style w:type="character" w:customStyle="1" w:styleId="15">
    <w:name w:val="标题 4 Char"/>
    <w:link w:val="5"/>
    <w:qFormat/>
    <w:uiPriority w:val="0"/>
    <w:rPr>
      <w:rFonts w:ascii="Arial" w:hAnsi="Arial"/>
    </w:rPr>
  </w:style>
  <w:style w:type="character" w:customStyle="1" w:styleId="16">
    <w:name w:val="标题 2 Char"/>
    <w:link w:val="3"/>
    <w:qFormat/>
    <w:uiPriority w:val="0"/>
    <w:rPr>
      <w:rFonts w:ascii="Arial" w:hAnsi="Arial"/>
      <w:b/>
      <w:sz w:val="32"/>
    </w:rPr>
  </w:style>
  <w:style w:type="character" w:customStyle="1" w:styleId="17">
    <w:name w:val="标题 3 Char"/>
    <w:link w:val="4"/>
    <w:qFormat/>
    <w:uiPriority w:val="0"/>
  </w:style>
  <w:style w:type="character" w:customStyle="1" w:styleId="18">
    <w:name w:val="fontstyle21"/>
    <w:basedOn w:val="11"/>
    <w:qFormat/>
    <w:uiPriority w:val="0"/>
    <w:rPr>
      <w:rFonts w:hint="default" w:ascii="Times New Roman" w:hAnsi="Times New Roman" w:cs="Times New Roman"/>
      <w:color w:val="000000"/>
      <w:sz w:val="22"/>
      <w:szCs w:val="22"/>
    </w:rPr>
  </w:style>
  <w:style w:type="character" w:customStyle="1" w:styleId="19">
    <w:name w:val="标题 1 Char"/>
    <w:link w:val="2"/>
    <w:qFormat/>
    <w:uiPriority w:val="0"/>
    <w:rPr>
      <w:rFonts w:eastAsia="宋体" w:asciiTheme="minorAscii" w:hAnsiTheme="minorAscii"/>
      <w:b/>
      <w:kern w:val="44"/>
      <w:sz w:val="36"/>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4.wmf"/><Relationship Id="rId13" Type="http://schemas.openxmlformats.org/officeDocument/2006/relationships/oleObject" Target="embeddings/oleObject3.bin"/><Relationship Id="rId12" Type="http://schemas.openxmlformats.org/officeDocument/2006/relationships/image" Target="media/image3.wmf"/><Relationship Id="rId11" Type="http://schemas.openxmlformats.org/officeDocument/2006/relationships/oleObject" Target="embeddings/oleObject2.bin"/><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横琴新区</Company>
  <Pages>12</Pages>
  <Words>11063</Words>
  <Characters>12536</Characters>
  <Lines>0</Lines>
  <Paragraphs>0</Paragraphs>
  <TotalTime>0</TotalTime>
  <ScaleCrop>false</ScaleCrop>
  <LinksUpToDate>false</LinksUpToDate>
  <CharactersWithSpaces>12703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2023-07-16T08:03:00Z</dcterms:created>
  <dc:creator>Careful</dc:creator>
  <cp:lastModifiedBy>Careful</cp:lastModifiedBy>
  <dcterms:modified xsi:type="dcterms:W3CDTF">2023-08-25T02:50:21Z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50F9F34434E54DF98D71DF5251FF2367_11</vt:lpwstr>
  </property>
</Properties>
</file>